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CAA4" w14:textId="31344D9D" w:rsidR="001239CF" w:rsidRPr="00CA1C36" w:rsidRDefault="001239CF" w:rsidP="008B1A3A">
      <w:pPr>
        <w:pStyle w:val="Podtytu"/>
        <w:spacing w:before="120" w:after="0"/>
        <w:jc w:val="center"/>
        <w:rPr>
          <w:b/>
          <w:szCs w:val="22"/>
        </w:rPr>
      </w:pPr>
      <w:r w:rsidRPr="00CA1C36">
        <w:rPr>
          <w:b/>
          <w:szCs w:val="22"/>
        </w:rPr>
        <w:t xml:space="preserve">Wskazówki </w:t>
      </w:r>
      <w:r w:rsidR="00F64831">
        <w:rPr>
          <w:b/>
          <w:szCs w:val="22"/>
        </w:rPr>
        <w:t xml:space="preserve">dla podmiotów ubiegających się o zezwolenie na świadczenie usług płatniczych </w:t>
      </w:r>
      <w:r w:rsidR="000D0DFE">
        <w:rPr>
          <w:b/>
          <w:szCs w:val="22"/>
        </w:rPr>
        <w:br/>
      </w:r>
      <w:r w:rsidR="00F64831">
        <w:rPr>
          <w:b/>
          <w:szCs w:val="22"/>
        </w:rPr>
        <w:t>w charakterze krajowej instytucji płatniczej</w:t>
      </w:r>
      <w:r w:rsidR="00CB4B4B">
        <w:rPr>
          <w:b/>
          <w:szCs w:val="22"/>
        </w:rPr>
        <w:t xml:space="preserve"> w zakresie opracowania wewnętrznej regulacji przeciwdziałania praniu pieniędzy</w:t>
      </w:r>
      <w:r w:rsidR="000D0DFE">
        <w:rPr>
          <w:b/>
          <w:szCs w:val="22"/>
        </w:rPr>
        <w:t xml:space="preserve"> oraz finansowaniu terroryzmu</w:t>
      </w:r>
      <w:r w:rsidR="00D24CBE">
        <w:rPr>
          <w:b/>
          <w:szCs w:val="22"/>
        </w:rPr>
        <w:t xml:space="preserve"> na potrzeby dokumentacji składanej wraz z wnioskiem o takie zezwolenie</w:t>
      </w:r>
    </w:p>
    <w:p w14:paraId="6443D93B" w14:textId="2E40F431" w:rsidR="00F95AD6" w:rsidRDefault="00E77B23" w:rsidP="00AC536B">
      <w:pPr>
        <w:spacing w:before="120"/>
      </w:pPr>
      <w:r>
        <w:t>Stosownie do a</w:t>
      </w:r>
      <w:r w:rsidR="00CB4B4B">
        <w:t>rt. 61</w:t>
      </w:r>
      <w:r w:rsidR="00F95AD6">
        <w:t xml:space="preserve"> ust. 1 pkt 6</w:t>
      </w:r>
      <w:r w:rsidR="00CB4B4B">
        <w:t xml:space="preserve"> </w:t>
      </w:r>
      <w:r w:rsidR="00B659DF" w:rsidRPr="00D64465">
        <w:t>ustaw</w:t>
      </w:r>
      <w:r w:rsidR="00D725A8" w:rsidRPr="00D64465">
        <w:t>y</w:t>
      </w:r>
      <w:r w:rsidR="00F95AD6">
        <w:t xml:space="preserve"> z dnia 19 sierpnia 2011 r.</w:t>
      </w:r>
      <w:r w:rsidR="00B659DF" w:rsidRPr="00D725A8">
        <w:rPr>
          <w:i/>
        </w:rPr>
        <w:t xml:space="preserve"> o usługach płatniczych</w:t>
      </w:r>
      <w:r w:rsidR="00D725A8">
        <w:rPr>
          <w:i/>
        </w:rPr>
        <w:t xml:space="preserve"> </w:t>
      </w:r>
      <w:r w:rsidR="00F95AD6">
        <w:t>(</w:t>
      </w:r>
      <w:r w:rsidR="00EA5820" w:rsidRPr="00EA5820">
        <w:t>j.t. Dz. U. z 2024 r. poz. 30</w:t>
      </w:r>
      <w:r w:rsidR="00F95AD6">
        <w:t xml:space="preserve">.; dalej: </w:t>
      </w:r>
      <w:r w:rsidR="000C33C7">
        <w:t>u.u.p.</w:t>
      </w:r>
      <w:r w:rsidR="00F95AD6">
        <w:t>)</w:t>
      </w:r>
      <w:r>
        <w:t xml:space="preserve">, jednym z elementów wniosku </w:t>
      </w:r>
      <w:r w:rsidR="00B659DF">
        <w:t xml:space="preserve"> </w:t>
      </w:r>
      <w:r w:rsidR="00F95AD6">
        <w:t>podmiot</w:t>
      </w:r>
      <w:r>
        <w:t>ów</w:t>
      </w:r>
      <w:r w:rsidR="00F95AD6">
        <w:t xml:space="preserve"> </w:t>
      </w:r>
      <w:r w:rsidR="00B659DF">
        <w:t>ubiegają</w:t>
      </w:r>
      <w:r w:rsidR="00D725A8">
        <w:t>c</w:t>
      </w:r>
      <w:r>
        <w:t>ych</w:t>
      </w:r>
      <w:r w:rsidR="00B659DF">
        <w:t xml:space="preserve"> się </w:t>
      </w:r>
      <w:r w:rsidR="00EA5820">
        <w:br/>
      </w:r>
      <w:r w:rsidR="00B659DF">
        <w:t xml:space="preserve">o zezwolenie </w:t>
      </w:r>
      <w:r w:rsidR="00C14247">
        <w:t xml:space="preserve">Komisji Nadzoru Finansowego (KNF) </w:t>
      </w:r>
      <w:r w:rsidR="00B659DF">
        <w:t>na świadczenie usług płatniczych w</w:t>
      </w:r>
      <w:r w:rsidR="004D26EF">
        <w:t> </w:t>
      </w:r>
      <w:r w:rsidR="00661E07">
        <w:t>charakterze</w:t>
      </w:r>
      <w:r w:rsidR="00B659DF">
        <w:t xml:space="preserve"> krajowej instytucji płatniczej</w:t>
      </w:r>
      <w:r w:rsidR="000D0DFE">
        <w:t xml:space="preserve"> (KIP)</w:t>
      </w:r>
      <w:r>
        <w:t xml:space="preserve"> jest </w:t>
      </w:r>
      <w:r w:rsidR="00B659DF" w:rsidRPr="006B4B45" w:rsidDel="00E77B23">
        <w:rPr>
          <w:b/>
        </w:rPr>
        <w:t>opis systemu zarządzania ryzykiem i</w:t>
      </w:r>
      <w:r w:rsidR="004D26EF">
        <w:rPr>
          <w:b/>
        </w:rPr>
        <w:t> </w:t>
      </w:r>
      <w:r w:rsidR="00B659DF" w:rsidRPr="006B4B45" w:rsidDel="00E77B23">
        <w:rPr>
          <w:b/>
        </w:rPr>
        <w:t>kontroli wewnętrznej</w:t>
      </w:r>
      <w:r w:rsidR="00B659DF" w:rsidDel="00E77B23">
        <w:t xml:space="preserve">, </w:t>
      </w:r>
      <w:r w:rsidR="00F95AD6" w:rsidDel="00E77B23">
        <w:t xml:space="preserve">o którym </w:t>
      </w:r>
      <w:r w:rsidR="00D751A6" w:rsidDel="00E77B23">
        <w:t xml:space="preserve">mowa w art. 64 ust. 1 pkt 3 </w:t>
      </w:r>
      <w:r w:rsidR="000C33C7">
        <w:t>u.u.p.</w:t>
      </w:r>
      <w:r w:rsidR="00D751A6" w:rsidDel="00E77B23">
        <w:t>, w tym zatwierdzone regulacje wewnętrzne w tym zakresie.</w:t>
      </w:r>
      <w:r w:rsidR="004D5E40" w:rsidDel="00E77B23">
        <w:t xml:space="preserve"> </w:t>
      </w:r>
      <w:r w:rsidR="004D5E40">
        <w:t xml:space="preserve">Zgodnie z art. 64 ust. 1 pkt 3 </w:t>
      </w:r>
      <w:r w:rsidR="000C33C7">
        <w:t>u.u.p.</w:t>
      </w:r>
      <w:r w:rsidR="004D5E40">
        <w:t xml:space="preserve"> zezwolenie może być udzielone</w:t>
      </w:r>
      <w:r w:rsidR="00661E07">
        <w:t>,</w:t>
      </w:r>
      <w:r w:rsidR="004D5E40">
        <w:t xml:space="preserve"> jeżeli </w:t>
      </w:r>
      <w:r>
        <w:t xml:space="preserve">dany </w:t>
      </w:r>
      <w:r w:rsidR="004D5E40">
        <w:t>podmiot zapewnia ostrożne i stabilne zarządzanie działalnością objętą wnioskiem o wydanie zezwolenia, w szczególności przez posiadanie systemu zarządzania ryzykiem i kontroli wewnętrznej odpowiedniego do rodzaju, skali i stopnia złożoności świadczonych usług płatniczych, zapewniającego należyte wypełnianie obowiązków związanych z prze</w:t>
      </w:r>
      <w:r w:rsidR="000D0DFE">
        <w:t>ciwdziałaniem praniu pieniędzy oraz</w:t>
      </w:r>
      <w:r w:rsidR="004D5E40">
        <w:t xml:space="preserve"> finansowaniu terroryzmu.</w:t>
      </w:r>
    </w:p>
    <w:p w14:paraId="3FCAEF5E" w14:textId="10B3E890" w:rsidR="00DE679A" w:rsidRDefault="00DE679A" w:rsidP="00AC536B">
      <w:pPr>
        <w:spacing w:before="120"/>
      </w:pPr>
      <w:r>
        <w:t>Powyższe odnosi się do działalności zarówno instytucji</w:t>
      </w:r>
      <w:r w:rsidR="0096255E">
        <w:t xml:space="preserve"> płatniczej</w:t>
      </w:r>
      <w:r w:rsidR="00C23914">
        <w:t xml:space="preserve">, jak również </w:t>
      </w:r>
      <w:r>
        <w:t xml:space="preserve">jej agentów. </w:t>
      </w:r>
    </w:p>
    <w:p w14:paraId="19F19C9B" w14:textId="766E9F2B" w:rsidR="00C14247" w:rsidRDefault="007A27CC" w:rsidP="00AC536B">
      <w:pPr>
        <w:spacing w:before="120"/>
      </w:pPr>
      <w:r>
        <w:t xml:space="preserve">Ponadto art. 64a ust. 1 </w:t>
      </w:r>
      <w:r w:rsidR="000C33C7">
        <w:t>u.u.p.</w:t>
      </w:r>
      <w:r>
        <w:t xml:space="preserve"> wskazuje, że w skład systemu zarządzania ryzykiem i kontroli wewnętrznej w </w:t>
      </w:r>
      <w:r w:rsidR="000D0DFE">
        <w:t>KIP</w:t>
      </w:r>
      <w:r>
        <w:t xml:space="preserve"> wchodzą m.in. rozwiązania organizacyjne obejmujące zasady i procedury wypełniania obowiązków instytucji obowiązanych</w:t>
      </w:r>
      <w:r w:rsidR="00C14247">
        <w:t xml:space="preserve"> </w:t>
      </w:r>
      <w:r>
        <w:t>w rozumieniu art.</w:t>
      </w:r>
      <w:r w:rsidR="00C14247">
        <w:t> </w:t>
      </w:r>
      <w:r>
        <w:t xml:space="preserve">2 ust. 1 ustawy z dnia 1 marca 2018 r. </w:t>
      </w:r>
      <w:r w:rsidRPr="00D64465">
        <w:rPr>
          <w:i/>
        </w:rPr>
        <w:t>o przeciwdziałaniu praniu pieniędzy oraz finansowaniu terroryzmu</w:t>
      </w:r>
      <w:r>
        <w:t xml:space="preserve"> (</w:t>
      </w:r>
      <w:r w:rsidR="00EA5820">
        <w:t>Dz. U. z 2023 r. poz. 1124</w:t>
      </w:r>
      <w:r w:rsidR="005E0202">
        <w:t xml:space="preserve">, z późn. zm.; </w:t>
      </w:r>
      <w:r>
        <w:t>dalej: ustawa AML), a także kontrol</w:t>
      </w:r>
      <w:r w:rsidR="00C96F20">
        <w:t>a</w:t>
      </w:r>
      <w:r>
        <w:t xml:space="preserve"> wewnętrzn</w:t>
      </w:r>
      <w:r w:rsidR="00C96F20">
        <w:t>a</w:t>
      </w:r>
      <w:r>
        <w:t>, która uwzględnia badanie zgodności prowadzonej przez KIP</w:t>
      </w:r>
      <w:r w:rsidR="00C23914">
        <w:t xml:space="preserve"> oraz </w:t>
      </w:r>
      <w:r w:rsidR="00DE679A">
        <w:t>jej agentów</w:t>
      </w:r>
      <w:r>
        <w:t xml:space="preserve"> działalności z przepisami w zakresie przeciwdziałania praniu pieniędzy oraz finansowaniu terroryzmu (AML/CFT).</w:t>
      </w:r>
    </w:p>
    <w:p w14:paraId="227D54B1" w14:textId="7EDC13EB" w:rsidR="008B05BE" w:rsidRDefault="00C14247" w:rsidP="008B05BE">
      <w:pPr>
        <w:spacing w:before="120"/>
      </w:pPr>
      <w:r>
        <w:t xml:space="preserve">Podmiot, który </w:t>
      </w:r>
      <w:r w:rsidR="00661E07">
        <w:t>ubiega</w:t>
      </w:r>
      <w:r>
        <w:t xml:space="preserve"> się o uzyskanie zezwolenia </w:t>
      </w:r>
      <w:r w:rsidR="00115EED">
        <w:t xml:space="preserve">KNF </w:t>
      </w:r>
      <w:r>
        <w:t xml:space="preserve">na świadczenie usług płatniczych </w:t>
      </w:r>
      <w:r w:rsidR="006122C9">
        <w:br/>
      </w:r>
      <w:r>
        <w:t xml:space="preserve">w charakterze </w:t>
      </w:r>
      <w:r w:rsidR="00115EED">
        <w:t xml:space="preserve">KIP </w:t>
      </w:r>
      <w:r>
        <w:t xml:space="preserve">musi </w:t>
      </w:r>
      <w:r w:rsidR="00115EED">
        <w:t xml:space="preserve">tym samym przygotować </w:t>
      </w:r>
      <w:r w:rsidR="00115EED" w:rsidRPr="006B4B45">
        <w:rPr>
          <w:b/>
        </w:rPr>
        <w:t>procedurę wewnętrzną instytucji obowiązanej</w:t>
      </w:r>
      <w:r w:rsidR="00115EED">
        <w:t xml:space="preserve">, o której mowa w </w:t>
      </w:r>
      <w:r w:rsidR="00115EED" w:rsidRPr="005745A0">
        <w:rPr>
          <w:b/>
        </w:rPr>
        <w:t>art. 50 ustawy AML</w:t>
      </w:r>
      <w:r w:rsidR="00115EED">
        <w:t>.</w:t>
      </w:r>
      <w:r w:rsidR="008B05BE">
        <w:t xml:space="preserve"> </w:t>
      </w:r>
    </w:p>
    <w:p w14:paraId="6EC9EB40" w14:textId="170ACF07" w:rsidR="00CB4B4B" w:rsidRDefault="00D725A8" w:rsidP="00ED2B1F">
      <w:pPr>
        <w:spacing w:before="120"/>
      </w:pPr>
      <w:r>
        <w:t xml:space="preserve">Celem niniejszego dokumentu jest </w:t>
      </w:r>
      <w:r w:rsidR="00AC536B">
        <w:t xml:space="preserve">przedstawienie zbioru dobrych praktyk, które </w:t>
      </w:r>
      <w:r w:rsidR="004D26EF">
        <w:t xml:space="preserve">powinny być stosowane przez </w:t>
      </w:r>
      <w:r w:rsidR="00661E07">
        <w:t xml:space="preserve">podmioty </w:t>
      </w:r>
      <w:r w:rsidR="00A815F1">
        <w:t>zamierzające</w:t>
      </w:r>
      <w:r w:rsidR="00661E07">
        <w:t xml:space="preserve"> </w:t>
      </w:r>
      <w:r w:rsidR="00A815F1">
        <w:t>świadczyć usługi płatnicze</w:t>
      </w:r>
      <w:r w:rsidR="00661E07">
        <w:t xml:space="preserve"> w charakterze </w:t>
      </w:r>
      <w:r w:rsidR="00F95AD6">
        <w:t>krajowe</w:t>
      </w:r>
      <w:r w:rsidR="00661E07">
        <w:t>j</w:t>
      </w:r>
      <w:r w:rsidR="00F95AD6">
        <w:t xml:space="preserve"> instytucj</w:t>
      </w:r>
      <w:r w:rsidR="00661E07">
        <w:t>i</w:t>
      </w:r>
      <w:r w:rsidR="00F95AD6">
        <w:t xml:space="preserve"> płatnicze</w:t>
      </w:r>
      <w:r w:rsidR="00661E07">
        <w:t>j</w:t>
      </w:r>
      <w:r w:rsidR="00F95AD6">
        <w:t xml:space="preserve"> </w:t>
      </w:r>
      <w:r w:rsidR="00AC536B">
        <w:t xml:space="preserve">przy </w:t>
      </w:r>
      <w:r>
        <w:t>opracow</w:t>
      </w:r>
      <w:r w:rsidR="00AC536B">
        <w:t>ywaniu</w:t>
      </w:r>
      <w:r>
        <w:t xml:space="preserve"> regulacji wewnętrznej w zakresie przeciwdziałania praniu pieniędzy oraz finansowaniu terroryzmu</w:t>
      </w:r>
      <w:r w:rsidR="002578D5">
        <w:t xml:space="preserve">. </w:t>
      </w:r>
      <w:r w:rsidR="005E0202">
        <w:t>Opisane w niniejszym dokumencie zasady</w:t>
      </w:r>
      <w:r w:rsidR="00B75121">
        <w:t xml:space="preserve"> postępowania </w:t>
      </w:r>
      <w:r w:rsidR="002578D5">
        <w:t xml:space="preserve">mogą </w:t>
      </w:r>
      <w:r w:rsidR="00B75121">
        <w:t xml:space="preserve">zostać uwzględnione </w:t>
      </w:r>
      <w:r w:rsidR="00AA0514">
        <w:t xml:space="preserve">również przez inne podmioty sektora usług </w:t>
      </w:r>
      <w:r w:rsidR="00AA0514" w:rsidRPr="00000CC9">
        <w:t>płatniczych</w:t>
      </w:r>
      <w:r w:rsidR="00DE679A" w:rsidRPr="004F4FAB">
        <w:t xml:space="preserve"> </w:t>
      </w:r>
      <w:r w:rsidR="00C23914" w:rsidRPr="004F4FAB">
        <w:t>oraz</w:t>
      </w:r>
      <w:r w:rsidR="00DE679A" w:rsidRPr="004F4FAB">
        <w:t xml:space="preserve"> ich agent</w:t>
      </w:r>
      <w:r w:rsidR="00425D72" w:rsidRPr="004F4FAB">
        <w:t>ów</w:t>
      </w:r>
      <w:r w:rsidR="00DE679A" w:rsidRPr="004F4FAB">
        <w:t>, które</w:t>
      </w:r>
      <w:r w:rsidR="00CF51C1">
        <w:t xml:space="preserve"> zobligowane do przedstawienia KNF procedury, o której mowa w art. 50 ust. 1 ustawy AML</w:t>
      </w:r>
      <w:r w:rsidR="00B75121">
        <w:t>.</w:t>
      </w:r>
    </w:p>
    <w:p w14:paraId="5352E764" w14:textId="2BDA8113" w:rsidR="001239CF" w:rsidRDefault="001239CF" w:rsidP="00A37EF7">
      <w:pPr>
        <w:pStyle w:val="Podtytu"/>
        <w:spacing w:before="120" w:after="120"/>
        <w:rPr>
          <w:szCs w:val="22"/>
        </w:rPr>
      </w:pPr>
      <w:r w:rsidRPr="00A815F1">
        <w:rPr>
          <w:szCs w:val="22"/>
        </w:rPr>
        <w:t>Przygotowując Procedurę Przeciwdziałania Praniu Pieniędzy oraz Finansowaniu Terroryzmu (</w:t>
      </w:r>
      <w:r w:rsidR="004D26EF">
        <w:rPr>
          <w:szCs w:val="22"/>
        </w:rPr>
        <w:t xml:space="preserve">dalej: </w:t>
      </w:r>
      <w:r w:rsidRPr="00DE7AA0">
        <w:rPr>
          <w:i/>
          <w:szCs w:val="22"/>
        </w:rPr>
        <w:t>Procedura</w:t>
      </w:r>
      <w:r w:rsidRPr="00DE7AA0">
        <w:rPr>
          <w:szCs w:val="22"/>
        </w:rPr>
        <w:t>)</w:t>
      </w:r>
      <w:r w:rsidR="005E0202" w:rsidRPr="00DE7AA0">
        <w:rPr>
          <w:szCs w:val="22"/>
        </w:rPr>
        <w:t>,</w:t>
      </w:r>
      <w:r w:rsidRPr="00DE7AA0">
        <w:rPr>
          <w:szCs w:val="22"/>
        </w:rPr>
        <w:t xml:space="preserve"> </w:t>
      </w:r>
      <w:r w:rsidR="00DC30CD">
        <w:rPr>
          <w:szCs w:val="22"/>
        </w:rPr>
        <w:t>instytucja obowiązana (IO)</w:t>
      </w:r>
      <w:r w:rsidR="005E0202" w:rsidRPr="00DE7AA0">
        <w:rPr>
          <w:szCs w:val="22"/>
        </w:rPr>
        <w:t xml:space="preserve"> </w:t>
      </w:r>
      <w:r w:rsidR="00891097" w:rsidRPr="00DE7AA0">
        <w:rPr>
          <w:szCs w:val="22"/>
        </w:rPr>
        <w:t>powinna</w:t>
      </w:r>
      <w:r w:rsidRPr="00DE7AA0">
        <w:rPr>
          <w:szCs w:val="22"/>
        </w:rPr>
        <w:t xml:space="preserve"> uwzględnić</w:t>
      </w:r>
      <w:r w:rsidR="004F3569" w:rsidRPr="00DE7AA0">
        <w:rPr>
          <w:szCs w:val="22"/>
        </w:rPr>
        <w:t xml:space="preserve"> polskie przepisy prawa regulujące </w:t>
      </w:r>
      <w:r w:rsidR="00843327" w:rsidRPr="00DE7AA0">
        <w:rPr>
          <w:szCs w:val="22"/>
        </w:rPr>
        <w:t>przedmiotowe zagadnien</w:t>
      </w:r>
      <w:r w:rsidR="00B75121" w:rsidRPr="00DE7AA0">
        <w:rPr>
          <w:szCs w:val="22"/>
        </w:rPr>
        <w:t>i</w:t>
      </w:r>
      <w:r w:rsidR="00843327" w:rsidRPr="00DE7AA0">
        <w:rPr>
          <w:szCs w:val="22"/>
        </w:rPr>
        <w:t>e</w:t>
      </w:r>
      <w:r w:rsidR="004F3569" w:rsidRPr="00DE7AA0">
        <w:rPr>
          <w:szCs w:val="22"/>
        </w:rPr>
        <w:t xml:space="preserve">, jak również odpowiednie regulacje unijne </w:t>
      </w:r>
      <w:r w:rsidR="00843327" w:rsidRPr="008E7697">
        <w:rPr>
          <w:szCs w:val="22"/>
        </w:rPr>
        <w:t>oraz</w:t>
      </w:r>
      <w:r w:rsidRPr="008E7697">
        <w:rPr>
          <w:szCs w:val="22"/>
        </w:rPr>
        <w:t xml:space="preserve"> wytyczne zawarte w</w:t>
      </w:r>
      <w:r w:rsidR="004D26EF">
        <w:rPr>
          <w:szCs w:val="22"/>
        </w:rPr>
        <w:t> </w:t>
      </w:r>
      <w:r w:rsidRPr="008E7697">
        <w:rPr>
          <w:szCs w:val="22"/>
        </w:rPr>
        <w:t>Komunikatach Generalnego Inspektora Informacji Finansowej</w:t>
      </w:r>
      <w:r w:rsidR="00651268" w:rsidRPr="00A815F1">
        <w:rPr>
          <w:rStyle w:val="Odwoanieprzypisudolnego"/>
          <w:szCs w:val="22"/>
        </w:rPr>
        <w:footnoteReference w:id="1"/>
      </w:r>
      <w:r w:rsidR="004F3569" w:rsidRPr="00A815F1">
        <w:rPr>
          <w:szCs w:val="22"/>
        </w:rPr>
        <w:t xml:space="preserve"> (GIIF)</w:t>
      </w:r>
      <w:r w:rsidRPr="00A815F1">
        <w:rPr>
          <w:szCs w:val="22"/>
        </w:rPr>
        <w:t xml:space="preserve"> oraz Stanowiskach </w:t>
      </w:r>
      <w:r w:rsidR="004F3569" w:rsidRPr="00A815F1">
        <w:rPr>
          <w:szCs w:val="22"/>
        </w:rPr>
        <w:t>Urzędu</w:t>
      </w:r>
      <w:r w:rsidR="00100B1D" w:rsidRPr="00A815F1">
        <w:rPr>
          <w:szCs w:val="22"/>
        </w:rPr>
        <w:t xml:space="preserve"> </w:t>
      </w:r>
      <w:r w:rsidR="004F3569" w:rsidRPr="00A815F1">
        <w:rPr>
          <w:szCs w:val="22"/>
        </w:rPr>
        <w:t>Komisji Nadzoru Finansowego (</w:t>
      </w:r>
      <w:r w:rsidRPr="00A815F1">
        <w:rPr>
          <w:szCs w:val="22"/>
        </w:rPr>
        <w:t>UKNF</w:t>
      </w:r>
      <w:r w:rsidR="004F3569" w:rsidRPr="00A815F1">
        <w:rPr>
          <w:szCs w:val="22"/>
        </w:rPr>
        <w:t>)</w:t>
      </w:r>
      <w:r w:rsidRPr="00A815F1">
        <w:rPr>
          <w:szCs w:val="22"/>
        </w:rPr>
        <w:t>.</w:t>
      </w:r>
    </w:p>
    <w:p w14:paraId="789687A5" w14:textId="77777777" w:rsidR="000872E3" w:rsidRPr="000872E3" w:rsidRDefault="000872E3" w:rsidP="000872E3"/>
    <w:p w14:paraId="25684226" w14:textId="0743EECE" w:rsidR="008B05BE" w:rsidRDefault="008B05BE" w:rsidP="008B05BE">
      <w:pPr>
        <w:spacing w:before="120"/>
      </w:pPr>
      <w:r>
        <w:lastRenderedPageBreak/>
        <w:t xml:space="preserve">Na podstawie art. 65 </w:t>
      </w:r>
      <w:r w:rsidR="000C33C7">
        <w:t>u.u.p.</w:t>
      </w:r>
      <w:r>
        <w:t xml:space="preserve"> KNF może odmówić wydania zezwolenia</w:t>
      </w:r>
      <w:r w:rsidR="00FC003B">
        <w:t xml:space="preserve"> dla KIP</w:t>
      </w:r>
      <w:r>
        <w:t xml:space="preserve">, jeżeli procedura wewnętrzna nie będzie </w:t>
      </w:r>
      <w:r w:rsidR="00D96045">
        <w:t xml:space="preserve">regulowała </w:t>
      </w:r>
      <w:r>
        <w:t xml:space="preserve">systemu zarządzania ryzykiem i kontroli wewnętrznej </w:t>
      </w:r>
      <w:r w:rsidR="00D96045">
        <w:t xml:space="preserve">w sposób </w:t>
      </w:r>
      <w:r>
        <w:t>odpowiedni do rodzaju, skali i stopnia złożoności świadczonych usług płatniczych, zapewniając</w:t>
      </w:r>
      <w:r w:rsidR="00D96045">
        <w:t>y</w:t>
      </w:r>
      <w:r>
        <w:t xml:space="preserve"> należyte wypełnianie obowiązków związanych z przeciwdziałaniem praniu pieniędzy oraz finansowaniu terroryzmu. </w:t>
      </w:r>
    </w:p>
    <w:p w14:paraId="542D0EE8" w14:textId="77777777" w:rsidR="000872E3" w:rsidRDefault="000872E3" w:rsidP="008B05BE">
      <w:pPr>
        <w:spacing w:before="120"/>
      </w:pPr>
    </w:p>
    <w:p w14:paraId="2E83CBF5" w14:textId="77777777" w:rsidR="00A815F1" w:rsidRPr="00A815F1" w:rsidRDefault="00DE7AA0" w:rsidP="00CE3A01">
      <w:pPr>
        <w:pStyle w:val="Podtytu"/>
        <w:numPr>
          <w:ilvl w:val="0"/>
          <w:numId w:val="20"/>
        </w:numPr>
        <w:spacing w:before="120" w:after="120"/>
        <w:rPr>
          <w:szCs w:val="22"/>
        </w:rPr>
      </w:pPr>
      <w:r>
        <w:rPr>
          <w:b/>
          <w:szCs w:val="22"/>
        </w:rPr>
        <w:t>Osoba odpowiedzialna i AMLRO</w:t>
      </w:r>
    </w:p>
    <w:p w14:paraId="11344DAC" w14:textId="160D476C" w:rsidR="005653B5" w:rsidRDefault="00471075" w:rsidP="00A815F1">
      <w:pPr>
        <w:pStyle w:val="Podtytu"/>
        <w:spacing w:before="120" w:after="120"/>
        <w:rPr>
          <w:szCs w:val="22"/>
        </w:rPr>
      </w:pPr>
      <w:r>
        <w:rPr>
          <w:szCs w:val="22"/>
        </w:rPr>
        <w:t xml:space="preserve">Zgodnie z </w:t>
      </w:r>
      <w:r w:rsidR="009A4A8D">
        <w:rPr>
          <w:szCs w:val="22"/>
        </w:rPr>
        <w:t>art. 7 ustawy AML</w:t>
      </w:r>
      <w:r w:rsidR="00A815F1">
        <w:rPr>
          <w:szCs w:val="22"/>
        </w:rPr>
        <w:t>,</w:t>
      </w:r>
      <w:r>
        <w:rPr>
          <w:szCs w:val="22"/>
        </w:rPr>
        <w:t xml:space="preserve"> </w:t>
      </w:r>
      <w:r w:rsidR="00661E07">
        <w:rPr>
          <w:szCs w:val="22"/>
        </w:rPr>
        <w:t>z</w:t>
      </w:r>
      <w:r w:rsidR="00D52A70">
        <w:rPr>
          <w:szCs w:val="22"/>
        </w:rPr>
        <w:t>arząd lub inny organ zarządzający</w:t>
      </w:r>
      <w:r w:rsidR="00FB2234">
        <w:rPr>
          <w:szCs w:val="22"/>
        </w:rPr>
        <w:t xml:space="preserve"> IO</w:t>
      </w:r>
      <w:r w:rsidR="00D52A70">
        <w:rPr>
          <w:szCs w:val="22"/>
        </w:rPr>
        <w:t xml:space="preserve"> powin</w:t>
      </w:r>
      <w:r w:rsidR="00C17787">
        <w:rPr>
          <w:szCs w:val="22"/>
        </w:rPr>
        <w:t>ien</w:t>
      </w:r>
      <w:r w:rsidR="0002119B">
        <w:rPr>
          <w:szCs w:val="22"/>
        </w:rPr>
        <w:t xml:space="preserve"> </w:t>
      </w:r>
      <w:r w:rsidR="00D52A70">
        <w:rPr>
          <w:szCs w:val="22"/>
        </w:rPr>
        <w:t>wyznacz</w:t>
      </w:r>
      <w:r w:rsidR="00C17787">
        <w:rPr>
          <w:szCs w:val="22"/>
        </w:rPr>
        <w:t>yć</w:t>
      </w:r>
      <w:r w:rsidR="00D52A70">
        <w:rPr>
          <w:szCs w:val="22"/>
        </w:rPr>
        <w:t xml:space="preserve"> spośród członków tego organu </w:t>
      </w:r>
      <w:r w:rsidR="00D52A70" w:rsidRPr="006B4B45">
        <w:rPr>
          <w:b/>
          <w:szCs w:val="22"/>
        </w:rPr>
        <w:t>osob</w:t>
      </w:r>
      <w:r w:rsidR="00C17787" w:rsidRPr="006B4B45">
        <w:rPr>
          <w:b/>
          <w:szCs w:val="22"/>
        </w:rPr>
        <w:t>ę</w:t>
      </w:r>
      <w:r w:rsidR="00D52A70" w:rsidRPr="006B4B45">
        <w:rPr>
          <w:b/>
          <w:szCs w:val="22"/>
        </w:rPr>
        <w:t xml:space="preserve"> odpowiedzialn</w:t>
      </w:r>
      <w:r w:rsidR="00C17787" w:rsidRPr="006B4B45">
        <w:rPr>
          <w:b/>
          <w:szCs w:val="22"/>
        </w:rPr>
        <w:t>ą</w:t>
      </w:r>
      <w:r w:rsidR="00D52A70" w:rsidRPr="006B4B45">
        <w:rPr>
          <w:b/>
          <w:szCs w:val="22"/>
        </w:rPr>
        <w:t xml:space="preserve"> za wdrażanie obowiązkó</w:t>
      </w:r>
      <w:r w:rsidR="00076862" w:rsidRPr="006B4B45">
        <w:rPr>
          <w:b/>
          <w:szCs w:val="22"/>
        </w:rPr>
        <w:t xml:space="preserve">w określonych </w:t>
      </w:r>
      <w:r w:rsidR="00FF762A">
        <w:rPr>
          <w:b/>
          <w:szCs w:val="22"/>
        </w:rPr>
        <w:t>w</w:t>
      </w:r>
      <w:r w:rsidR="00F1085C" w:rsidRPr="006B4B45">
        <w:rPr>
          <w:b/>
          <w:szCs w:val="22"/>
        </w:rPr>
        <w:t xml:space="preserve"> </w:t>
      </w:r>
      <w:r w:rsidR="00FB2234" w:rsidRPr="006B4B45">
        <w:rPr>
          <w:b/>
          <w:szCs w:val="22"/>
        </w:rPr>
        <w:t>u</w:t>
      </w:r>
      <w:r w:rsidR="00F1085C" w:rsidRPr="006B4B45">
        <w:rPr>
          <w:b/>
          <w:szCs w:val="22"/>
        </w:rPr>
        <w:t>staw</w:t>
      </w:r>
      <w:r w:rsidR="00FF762A">
        <w:rPr>
          <w:b/>
          <w:szCs w:val="22"/>
        </w:rPr>
        <w:t>ie</w:t>
      </w:r>
      <w:r w:rsidR="00FB2234" w:rsidRPr="006B4B45">
        <w:rPr>
          <w:b/>
          <w:szCs w:val="22"/>
        </w:rPr>
        <w:t xml:space="preserve"> AML</w:t>
      </w:r>
      <w:r w:rsidR="00D52A70">
        <w:rPr>
          <w:szCs w:val="22"/>
        </w:rPr>
        <w:t xml:space="preserve">. </w:t>
      </w:r>
      <w:r w:rsidR="00A815F1">
        <w:rPr>
          <w:szCs w:val="22"/>
        </w:rPr>
        <w:t>P</w:t>
      </w:r>
      <w:r w:rsidR="00B418A1">
        <w:rPr>
          <w:szCs w:val="22"/>
        </w:rPr>
        <w:t xml:space="preserve">owinna </w:t>
      </w:r>
      <w:r w:rsidR="00A815F1">
        <w:rPr>
          <w:szCs w:val="22"/>
        </w:rPr>
        <w:t xml:space="preserve">ona </w:t>
      </w:r>
      <w:r w:rsidR="006F264E">
        <w:rPr>
          <w:szCs w:val="22"/>
        </w:rPr>
        <w:t xml:space="preserve">mieć </w:t>
      </w:r>
      <w:r>
        <w:rPr>
          <w:szCs w:val="22"/>
        </w:rPr>
        <w:t xml:space="preserve">należytą </w:t>
      </w:r>
      <w:r w:rsidR="006F264E">
        <w:rPr>
          <w:szCs w:val="22"/>
        </w:rPr>
        <w:t xml:space="preserve">wiedzę, umiejętności i doświadczenie w zakresie ryzyka </w:t>
      </w:r>
      <w:r w:rsidR="00410B83">
        <w:rPr>
          <w:szCs w:val="22"/>
        </w:rPr>
        <w:t>prania pieniędzy oraz finansowania terroryzmu (</w:t>
      </w:r>
      <w:r w:rsidR="006F264E">
        <w:rPr>
          <w:szCs w:val="22"/>
        </w:rPr>
        <w:t>ML/FT</w:t>
      </w:r>
      <w:r w:rsidR="00410B83">
        <w:rPr>
          <w:szCs w:val="22"/>
        </w:rPr>
        <w:t>)</w:t>
      </w:r>
      <w:r w:rsidR="006F264E">
        <w:rPr>
          <w:szCs w:val="22"/>
        </w:rPr>
        <w:t xml:space="preserve"> oraz wdrażania polityk, mechanizmów kontrolnych i procedur AML/CFT</w:t>
      </w:r>
      <w:r w:rsidR="00B418A1">
        <w:rPr>
          <w:szCs w:val="22"/>
        </w:rPr>
        <w:t>.</w:t>
      </w:r>
      <w:r w:rsidR="006830D1">
        <w:rPr>
          <w:szCs w:val="22"/>
        </w:rPr>
        <w:t xml:space="preserve"> </w:t>
      </w:r>
      <w:r w:rsidR="005653B5">
        <w:rPr>
          <w:szCs w:val="22"/>
        </w:rPr>
        <w:t>Zadania oraz funkcja osoby odpowiedzialnej powinna mieć umocowanie w stosownych dokumentach wewnętrznych (np. uchwał</w:t>
      </w:r>
      <w:r w:rsidR="009D7D49">
        <w:rPr>
          <w:szCs w:val="22"/>
        </w:rPr>
        <w:t>ach</w:t>
      </w:r>
      <w:r w:rsidR="005653B5">
        <w:rPr>
          <w:szCs w:val="22"/>
        </w:rPr>
        <w:t xml:space="preserve"> </w:t>
      </w:r>
      <w:r w:rsidR="00661E07">
        <w:rPr>
          <w:szCs w:val="22"/>
        </w:rPr>
        <w:t>z</w:t>
      </w:r>
      <w:r w:rsidR="005653B5">
        <w:rPr>
          <w:szCs w:val="22"/>
        </w:rPr>
        <w:t>arządu, regulamin</w:t>
      </w:r>
      <w:r w:rsidR="009D7D49">
        <w:rPr>
          <w:szCs w:val="22"/>
        </w:rPr>
        <w:t>ach</w:t>
      </w:r>
      <w:r w:rsidR="005653B5">
        <w:rPr>
          <w:szCs w:val="22"/>
        </w:rPr>
        <w:t>).</w:t>
      </w:r>
    </w:p>
    <w:p w14:paraId="1E9486E5" w14:textId="285D2A96" w:rsidR="005A38CC" w:rsidRDefault="00D52A70" w:rsidP="002578D5">
      <w:pPr>
        <w:pStyle w:val="Podtytu"/>
        <w:spacing w:after="120"/>
      </w:pPr>
      <w:r>
        <w:rPr>
          <w:szCs w:val="22"/>
        </w:rPr>
        <w:t xml:space="preserve">Niezależnie </w:t>
      </w:r>
      <w:r>
        <w:t>od</w:t>
      </w:r>
      <w:r w:rsidR="00471075">
        <w:t xml:space="preserve"> obowiązku</w:t>
      </w:r>
      <w:r>
        <w:t xml:space="preserve"> powołan</w:t>
      </w:r>
      <w:r w:rsidR="00471075">
        <w:t>ia</w:t>
      </w:r>
      <w:r>
        <w:t xml:space="preserve"> osoby odpowiedzialnej, na podstawie art. 8 </w:t>
      </w:r>
      <w:r w:rsidR="00FB2234">
        <w:t>u</w:t>
      </w:r>
      <w:r>
        <w:t>stawy</w:t>
      </w:r>
      <w:r w:rsidR="00FB2234">
        <w:t xml:space="preserve"> AML</w:t>
      </w:r>
      <w:r>
        <w:t>, powinien zostać wyznaczony pracownik</w:t>
      </w:r>
      <w:r w:rsidRPr="00466823">
        <w:t xml:space="preserve"> </w:t>
      </w:r>
      <w:r w:rsidR="00F1085C" w:rsidRPr="00466823">
        <w:t>zajmując</w:t>
      </w:r>
      <w:r w:rsidR="00F1085C">
        <w:t>y</w:t>
      </w:r>
      <w:r w:rsidR="00F1085C" w:rsidRPr="00466823">
        <w:t xml:space="preserve"> </w:t>
      </w:r>
      <w:r w:rsidRPr="00466823">
        <w:t>kierownicze stanowisko</w:t>
      </w:r>
      <w:r w:rsidR="00661E07">
        <w:t>,</w:t>
      </w:r>
      <w:r w:rsidRPr="00466823">
        <w:t xml:space="preserve"> odpowiedzialn</w:t>
      </w:r>
      <w:r>
        <w:t>y</w:t>
      </w:r>
      <w:r w:rsidRPr="00466823">
        <w:t xml:space="preserve"> za zapewnienie zgodności działalności instytucji obowiązanej oraz jej pracowników i innych osób wykonujących czynności na rzecz </w:t>
      </w:r>
      <w:r w:rsidR="00F1085C">
        <w:t>IO</w:t>
      </w:r>
      <w:r w:rsidRPr="00466823">
        <w:t xml:space="preserve"> </w:t>
      </w:r>
      <w:r w:rsidR="00F1085C">
        <w:t>z</w:t>
      </w:r>
      <w:r w:rsidRPr="00466823">
        <w:t xml:space="preserve"> przepisami</w:t>
      </w:r>
      <w:r w:rsidR="00F1085C">
        <w:t xml:space="preserve"> </w:t>
      </w:r>
      <w:r w:rsidR="00FB2234">
        <w:t>u</w:t>
      </w:r>
      <w:r w:rsidR="00F1085C">
        <w:t>stawy</w:t>
      </w:r>
      <w:r w:rsidR="00FB2234">
        <w:t xml:space="preserve"> AML</w:t>
      </w:r>
      <w:r w:rsidR="00F1085C">
        <w:t xml:space="preserve">. </w:t>
      </w:r>
      <w:r>
        <w:t>Wskazany pracownik pełni</w:t>
      </w:r>
      <w:r w:rsidR="00F1085C">
        <w:t>ć będzie</w:t>
      </w:r>
      <w:r>
        <w:t xml:space="preserve"> rolę </w:t>
      </w:r>
      <w:r w:rsidR="00F1085C">
        <w:t xml:space="preserve">tzw. </w:t>
      </w:r>
      <w:r w:rsidR="001C535C">
        <w:t>A</w:t>
      </w:r>
      <w:r>
        <w:t>ML</w:t>
      </w:r>
      <w:r w:rsidR="001C535C">
        <w:t>R</w:t>
      </w:r>
      <w:r>
        <w:t>O (</w:t>
      </w:r>
      <w:r w:rsidR="001C535C" w:rsidRPr="001C535C">
        <w:rPr>
          <w:i/>
        </w:rPr>
        <w:t>Anti-</w:t>
      </w:r>
      <w:r w:rsidRPr="001C535C">
        <w:rPr>
          <w:i/>
        </w:rPr>
        <w:t>M</w:t>
      </w:r>
      <w:r w:rsidRPr="001C535C">
        <w:rPr>
          <w:i/>
          <w:szCs w:val="22"/>
        </w:rPr>
        <w:t>oney Laundering Reporting Officer</w:t>
      </w:r>
      <w:r>
        <w:rPr>
          <w:szCs w:val="22"/>
        </w:rPr>
        <w:t>)</w:t>
      </w:r>
      <w:r>
        <w:t xml:space="preserve">. </w:t>
      </w:r>
      <w:r w:rsidR="006830D1">
        <w:t xml:space="preserve">AMLRO również powinien m.in. posiadać wystarczającą wiedzę i </w:t>
      </w:r>
      <w:r w:rsidR="00F35FF2">
        <w:t>świadomość</w:t>
      </w:r>
      <w:r w:rsidR="006830D1">
        <w:t xml:space="preserve"> ryzyk</w:t>
      </w:r>
      <w:r w:rsidR="00410B83">
        <w:t>a</w:t>
      </w:r>
      <w:r w:rsidR="006830D1">
        <w:t xml:space="preserve"> </w:t>
      </w:r>
      <w:r w:rsidR="00150748">
        <w:t xml:space="preserve">prania pieniędzy oraz finansowania terroryzmu </w:t>
      </w:r>
      <w:r w:rsidR="006830D1">
        <w:t xml:space="preserve"> związan</w:t>
      </w:r>
      <w:r w:rsidR="00F8438F">
        <w:t>ego</w:t>
      </w:r>
      <w:r w:rsidR="006830D1">
        <w:t xml:space="preserve"> z modelem biznesowym IO, doświadczenie w zakresie zarządzania tym ryzyk</w:t>
      </w:r>
      <w:r w:rsidR="005745A0">
        <w:t>iem</w:t>
      </w:r>
      <w:r w:rsidR="006830D1">
        <w:t xml:space="preserve"> oraz odpowiedni staż pracy i zakres obowiązków </w:t>
      </w:r>
      <w:r w:rsidR="00FF7BF1">
        <w:t xml:space="preserve">umożliwiający sprawowanie przedmiotowej funkcji </w:t>
      </w:r>
      <w:r w:rsidR="00C85229">
        <w:br/>
      </w:r>
      <w:r w:rsidR="00FF7BF1">
        <w:t>w sposób skuteczny.</w:t>
      </w:r>
      <w:r w:rsidR="006830D1">
        <w:t xml:space="preserve"> </w:t>
      </w:r>
      <w:r w:rsidR="00B418A1">
        <w:t xml:space="preserve">Należy </w:t>
      </w:r>
      <w:r w:rsidR="00CE5488">
        <w:t>wsk</w:t>
      </w:r>
      <w:r w:rsidR="00B418A1">
        <w:t xml:space="preserve">azać, że taki pracownik powinien mieć zapewnioną niezależność </w:t>
      </w:r>
      <w:r w:rsidR="00C85229">
        <w:br/>
      </w:r>
      <w:r w:rsidR="00B418A1">
        <w:t>w wykonywaniu swojej funkcji, c</w:t>
      </w:r>
      <w:r w:rsidR="00F1085C">
        <w:t>o jest równoznaczne z tym, że</w:t>
      </w:r>
      <w:r w:rsidR="00123E77">
        <w:t xml:space="preserve"> osoba wyznaczona spośród członków zarządu </w:t>
      </w:r>
      <w:r w:rsidR="00F1085C">
        <w:t xml:space="preserve">IO </w:t>
      </w:r>
      <w:r w:rsidR="00123E77">
        <w:t xml:space="preserve">nie może </w:t>
      </w:r>
      <w:r w:rsidR="00630AE9">
        <w:t xml:space="preserve">pełnić roli </w:t>
      </w:r>
      <w:r w:rsidR="001C535C">
        <w:t>A</w:t>
      </w:r>
      <w:r w:rsidR="00123E77">
        <w:t>MLRO.</w:t>
      </w:r>
    </w:p>
    <w:p w14:paraId="4307B6A3" w14:textId="4AFE96C6" w:rsidR="006830D1" w:rsidRPr="006830D1" w:rsidRDefault="00573B90" w:rsidP="002578D5">
      <w:pPr>
        <w:spacing w:after="120"/>
      </w:pPr>
      <w:r>
        <w:t>Stosownie do dyspozycji</w:t>
      </w:r>
      <w:r w:rsidR="0076066C">
        <w:t xml:space="preserve"> art. 154 ust. 1 ustawy AML w przypadku stwierdzenia naruszenia przez IO obowiązków, o których mowa w art. 147 lub art. 148 na </w:t>
      </w:r>
      <w:r w:rsidR="00630AE9">
        <w:t>o</w:t>
      </w:r>
      <w:r w:rsidR="0076066C">
        <w:t>sobę odpowiedzialną może zostać nałożona kara pieniężna.</w:t>
      </w:r>
    </w:p>
    <w:p w14:paraId="19F674F1" w14:textId="2517EEDC" w:rsidR="005A38CC" w:rsidRDefault="00C412B5" w:rsidP="000218F4">
      <w:pPr>
        <w:pStyle w:val="Podtytu"/>
        <w:spacing w:after="120"/>
        <w:rPr>
          <w:szCs w:val="22"/>
        </w:rPr>
      </w:pPr>
      <w:r>
        <w:rPr>
          <w:szCs w:val="22"/>
        </w:rPr>
        <w:t xml:space="preserve">Przy określaniu roli i zadań ww. osób należy uwzględnić wytyczne zawarte w </w:t>
      </w:r>
      <w:r w:rsidRPr="009B1BB8">
        <w:rPr>
          <w:szCs w:val="22"/>
        </w:rPr>
        <w:t>Stanowisku UKNF</w:t>
      </w:r>
      <w:r w:rsidRPr="00D04BA1">
        <w:rPr>
          <w:i/>
          <w:szCs w:val="22"/>
        </w:rPr>
        <w:t xml:space="preserve"> dotyczącym AMLRO</w:t>
      </w:r>
      <w:r>
        <w:rPr>
          <w:szCs w:val="22"/>
        </w:rPr>
        <w:t xml:space="preserve"> z dnia 1 grudnia 2022</w:t>
      </w:r>
      <w:r w:rsidR="00C23914">
        <w:rPr>
          <w:szCs w:val="22"/>
        </w:rPr>
        <w:t> </w:t>
      </w:r>
      <w:r>
        <w:rPr>
          <w:szCs w:val="22"/>
        </w:rPr>
        <w:t>r.</w:t>
      </w:r>
      <w:r w:rsidR="005B35ED">
        <w:rPr>
          <w:rStyle w:val="Odwoanieprzypisudolnego"/>
          <w:szCs w:val="22"/>
        </w:rPr>
        <w:footnoteReference w:id="2"/>
      </w:r>
      <w:r w:rsidR="00DF15B6">
        <w:rPr>
          <w:szCs w:val="22"/>
        </w:rPr>
        <w:t xml:space="preserve"> Obowiązki AMLRO i jego rola muszą być odpowiednio udokumentowane.</w:t>
      </w:r>
    </w:p>
    <w:p w14:paraId="22332ED0" w14:textId="77777777" w:rsidR="000872E3" w:rsidRPr="000872E3" w:rsidRDefault="000872E3" w:rsidP="000872E3"/>
    <w:p w14:paraId="1EF10058" w14:textId="77777777" w:rsidR="00DE7AA0" w:rsidRPr="009B1BB8" w:rsidRDefault="00DE7AA0" w:rsidP="00CE3A01">
      <w:pPr>
        <w:pStyle w:val="Podtytu"/>
        <w:numPr>
          <w:ilvl w:val="0"/>
          <w:numId w:val="20"/>
        </w:numPr>
        <w:spacing w:after="120"/>
        <w:rPr>
          <w:b/>
          <w:i/>
        </w:rPr>
      </w:pPr>
      <w:r w:rsidRPr="006B4B45">
        <w:rPr>
          <w:b/>
        </w:rPr>
        <w:t xml:space="preserve">Wymogi dotyczące </w:t>
      </w:r>
      <w:r w:rsidRPr="009B1BB8">
        <w:rPr>
          <w:b/>
          <w:i/>
        </w:rPr>
        <w:t>Procedury</w:t>
      </w:r>
    </w:p>
    <w:p w14:paraId="1EA6EBB0" w14:textId="73D5177C" w:rsidR="00DE7AA0" w:rsidRDefault="002539D7" w:rsidP="000218F4">
      <w:pPr>
        <w:pStyle w:val="Podtytu"/>
        <w:spacing w:after="120"/>
      </w:pPr>
      <w:r w:rsidRPr="00FB2234">
        <w:rPr>
          <w:i/>
        </w:rPr>
        <w:t>Procedura</w:t>
      </w:r>
      <w:r>
        <w:t xml:space="preserve"> powinna uwzględniać nie tylko cel jej wprowadzenia</w:t>
      </w:r>
      <w:r w:rsidR="00100B1D">
        <w:t>,</w:t>
      </w:r>
      <w:r>
        <w:t xml:space="preserve"> jakim jest ograniczanie </w:t>
      </w:r>
      <w:r w:rsidR="00573B90">
        <w:br/>
      </w:r>
      <w:r>
        <w:t xml:space="preserve">i zarządzanie rozpoznanym ryzykiem </w:t>
      </w:r>
      <w:r w:rsidR="00100B1D" w:rsidRPr="00341761">
        <w:t>ML/FT</w:t>
      </w:r>
      <w:r>
        <w:t xml:space="preserve">, ale również </w:t>
      </w:r>
      <w:r w:rsidR="00341761">
        <w:t>charakter, rodzaj i rozmiar prowadzonej działalności</w:t>
      </w:r>
      <w:r w:rsidR="00100B1D">
        <w:t xml:space="preserve">. W konsekwencji </w:t>
      </w:r>
      <w:r w:rsidR="00100B1D" w:rsidRPr="00FB2234">
        <w:rPr>
          <w:i/>
        </w:rPr>
        <w:t>Procedura</w:t>
      </w:r>
      <w:r w:rsidR="00100B1D">
        <w:t xml:space="preserve"> pow</w:t>
      </w:r>
      <w:r w:rsidR="008D7961">
        <w:t>i</w:t>
      </w:r>
      <w:r w:rsidR="00100B1D">
        <w:t>nna</w:t>
      </w:r>
      <w:r w:rsidR="008D7961">
        <w:t xml:space="preserve"> odzwierciedlać zasady postępowania </w:t>
      </w:r>
      <w:r w:rsidR="00341761">
        <w:t>stosowane w IO</w:t>
      </w:r>
      <w:r w:rsidR="00100B1D">
        <w:t xml:space="preserve">, </w:t>
      </w:r>
      <w:r w:rsidR="007B485C">
        <w:t>uwzględniając</w:t>
      </w:r>
      <w:r w:rsidR="00100B1D">
        <w:t xml:space="preserve"> zarazem </w:t>
      </w:r>
      <w:r w:rsidR="00573B90">
        <w:t xml:space="preserve">określone </w:t>
      </w:r>
      <w:r w:rsidR="00100B1D">
        <w:t>ram</w:t>
      </w:r>
      <w:r w:rsidR="00573B90">
        <w:t>y</w:t>
      </w:r>
      <w:r w:rsidR="00100B1D">
        <w:t xml:space="preserve"> prawn</w:t>
      </w:r>
      <w:r w:rsidR="00573B90">
        <w:t>e</w:t>
      </w:r>
      <w:r>
        <w:t xml:space="preserve">. </w:t>
      </w:r>
      <w:r w:rsidR="00341761">
        <w:t xml:space="preserve">W </w:t>
      </w:r>
      <w:r w:rsidR="00FB2234" w:rsidRPr="00FB2234">
        <w:rPr>
          <w:i/>
        </w:rPr>
        <w:t>P</w:t>
      </w:r>
      <w:r w:rsidR="00341761" w:rsidRPr="00FB2234">
        <w:rPr>
          <w:i/>
        </w:rPr>
        <w:t>rocedurze</w:t>
      </w:r>
      <w:r w:rsidR="00341761">
        <w:t xml:space="preserve"> powinny zostać uregulowane te obszary, w których </w:t>
      </w:r>
      <w:r w:rsidR="00FB2234">
        <w:t>u</w:t>
      </w:r>
      <w:r w:rsidR="00341761">
        <w:t xml:space="preserve">stawa </w:t>
      </w:r>
      <w:r w:rsidR="00FB2234">
        <w:t xml:space="preserve">AML </w:t>
      </w:r>
      <w:r w:rsidR="00341761">
        <w:t xml:space="preserve">daje IO swobodę </w:t>
      </w:r>
      <w:r w:rsidR="0090643B">
        <w:t>w zakresie sposobu realizacji obowiązków AML/CFT</w:t>
      </w:r>
      <w:r w:rsidR="004C6ED3">
        <w:t>.</w:t>
      </w:r>
    </w:p>
    <w:p w14:paraId="04AC8FDD" w14:textId="77777777" w:rsidR="00AE0F24" w:rsidRDefault="00891097" w:rsidP="000218F4">
      <w:pPr>
        <w:pStyle w:val="Podtytu"/>
        <w:spacing w:after="120"/>
      </w:pPr>
      <w:r w:rsidRPr="00ED230D">
        <w:rPr>
          <w:i/>
          <w:u w:val="single"/>
        </w:rPr>
        <w:lastRenderedPageBreak/>
        <w:t>Procedura</w:t>
      </w:r>
      <w:r w:rsidRPr="00ED230D">
        <w:rPr>
          <w:u w:val="single"/>
        </w:rPr>
        <w:t xml:space="preserve"> powinna stanowić </w:t>
      </w:r>
      <w:r w:rsidR="00341761" w:rsidRPr="00ED230D">
        <w:rPr>
          <w:u w:val="single"/>
        </w:rPr>
        <w:t xml:space="preserve">przejrzysty </w:t>
      </w:r>
      <w:r w:rsidRPr="00ED230D">
        <w:rPr>
          <w:u w:val="single"/>
        </w:rPr>
        <w:t>przewodnik dla pracowników</w:t>
      </w:r>
      <w:r w:rsidR="005264D5" w:rsidRPr="00ED230D">
        <w:rPr>
          <w:u w:val="single"/>
        </w:rPr>
        <w:t xml:space="preserve"> IO</w:t>
      </w:r>
      <w:r w:rsidR="00100B1D" w:rsidRPr="00ED230D">
        <w:rPr>
          <w:u w:val="single"/>
        </w:rPr>
        <w:t>,</w:t>
      </w:r>
      <w:r w:rsidRPr="00ED230D">
        <w:rPr>
          <w:u w:val="single"/>
        </w:rPr>
        <w:t xml:space="preserve"> w zakresie realizacji obowiązków ustawowych</w:t>
      </w:r>
      <w:r w:rsidR="00FB2234" w:rsidRPr="00ED230D">
        <w:rPr>
          <w:u w:val="single"/>
        </w:rPr>
        <w:t xml:space="preserve"> </w:t>
      </w:r>
      <w:r w:rsidR="00FB2234">
        <w:t xml:space="preserve">i </w:t>
      </w:r>
      <w:r w:rsidR="002539D7">
        <w:t xml:space="preserve">w szczególności </w:t>
      </w:r>
      <w:r w:rsidR="002539D7" w:rsidRPr="006B4B45">
        <w:rPr>
          <w:b/>
        </w:rPr>
        <w:t>zawierać</w:t>
      </w:r>
      <w:r w:rsidR="001239CF">
        <w:t xml:space="preserve"> </w:t>
      </w:r>
      <w:r w:rsidR="001239CF" w:rsidRPr="006B4B45">
        <w:rPr>
          <w:b/>
        </w:rPr>
        <w:t>opis</w:t>
      </w:r>
      <w:r w:rsidR="00AE0F24">
        <w:t>:</w:t>
      </w:r>
    </w:p>
    <w:p w14:paraId="6B17CB5A" w14:textId="77777777" w:rsidR="00AE0F24" w:rsidRPr="00CE41C6" w:rsidRDefault="00891097" w:rsidP="00CE3A01">
      <w:pPr>
        <w:pStyle w:val="Akapitzlist"/>
        <w:numPr>
          <w:ilvl w:val="0"/>
          <w:numId w:val="4"/>
        </w:numPr>
        <w:ind w:left="360"/>
        <w:rPr>
          <w:b/>
        </w:rPr>
      </w:pPr>
      <w:r w:rsidRPr="00CE41C6">
        <w:rPr>
          <w:b/>
        </w:rPr>
        <w:t>c</w:t>
      </w:r>
      <w:r w:rsidR="00AE0F24" w:rsidRPr="00CE41C6">
        <w:rPr>
          <w:b/>
        </w:rPr>
        <w:t>zynności lub działa</w:t>
      </w:r>
      <w:r w:rsidR="00FB2234">
        <w:rPr>
          <w:b/>
        </w:rPr>
        <w:t>ń</w:t>
      </w:r>
      <w:r w:rsidR="00AE0F24" w:rsidRPr="00CE41C6">
        <w:rPr>
          <w:b/>
        </w:rPr>
        <w:t xml:space="preserve"> podejmowan</w:t>
      </w:r>
      <w:r w:rsidR="00FB2234">
        <w:rPr>
          <w:b/>
        </w:rPr>
        <w:t>ych</w:t>
      </w:r>
      <w:r w:rsidR="00AE0F24" w:rsidRPr="00CE41C6">
        <w:rPr>
          <w:b/>
        </w:rPr>
        <w:t xml:space="preserve"> w celu ograniczenia ryzyka </w:t>
      </w:r>
      <w:r w:rsidR="005264D5">
        <w:rPr>
          <w:b/>
        </w:rPr>
        <w:t>ML/FT</w:t>
      </w:r>
      <w:r w:rsidR="00AE0F24" w:rsidRPr="00CE41C6">
        <w:rPr>
          <w:b/>
        </w:rPr>
        <w:t xml:space="preserve"> i właściwego zarządzania zidentyfikowanym ryzykiem prania pieniędzy lub finansowania terroryzmu;</w:t>
      </w:r>
    </w:p>
    <w:p w14:paraId="0AE13322" w14:textId="304AEE1B" w:rsidR="00100B1D" w:rsidRDefault="00100B1D" w:rsidP="00CE41C6">
      <w:pPr>
        <w:pStyle w:val="Akapitzlist"/>
        <w:spacing w:before="120" w:after="0"/>
        <w:ind w:left="340"/>
        <w:rPr>
          <w:szCs w:val="24"/>
        </w:rPr>
      </w:pPr>
      <w:r>
        <w:rPr>
          <w:szCs w:val="24"/>
        </w:rPr>
        <w:t xml:space="preserve">W świetle </w:t>
      </w:r>
      <w:r w:rsidR="00F11D6A" w:rsidRPr="00F11D6A">
        <w:rPr>
          <w:szCs w:val="24"/>
        </w:rPr>
        <w:t>art. 27</w:t>
      </w:r>
      <w:r w:rsidRPr="00100B1D">
        <w:rPr>
          <w:szCs w:val="24"/>
        </w:rPr>
        <w:t xml:space="preserve"> </w:t>
      </w:r>
      <w:r w:rsidR="00585934">
        <w:rPr>
          <w:szCs w:val="24"/>
        </w:rPr>
        <w:t>u</w:t>
      </w:r>
      <w:r w:rsidRPr="00F11D6A">
        <w:rPr>
          <w:szCs w:val="24"/>
        </w:rPr>
        <w:t>staw</w:t>
      </w:r>
      <w:r>
        <w:rPr>
          <w:szCs w:val="24"/>
        </w:rPr>
        <w:t>y</w:t>
      </w:r>
      <w:r w:rsidR="00CF51C1">
        <w:rPr>
          <w:szCs w:val="24"/>
        </w:rPr>
        <w:t xml:space="preserve"> AML</w:t>
      </w:r>
      <w:r w:rsidR="00F11D6A" w:rsidRPr="00F11D6A">
        <w:rPr>
          <w:szCs w:val="24"/>
        </w:rPr>
        <w:t xml:space="preserve">, </w:t>
      </w:r>
      <w:r w:rsidR="00A81A5A">
        <w:rPr>
          <w:szCs w:val="24"/>
        </w:rPr>
        <w:t>IO</w:t>
      </w:r>
      <w:r w:rsidR="00F11D6A" w:rsidRPr="00F11D6A">
        <w:rPr>
          <w:szCs w:val="24"/>
        </w:rPr>
        <w:t xml:space="preserve"> </w:t>
      </w:r>
      <w:r w:rsidRPr="006B4B45">
        <w:rPr>
          <w:b/>
          <w:szCs w:val="24"/>
        </w:rPr>
        <w:t xml:space="preserve">identyfikuje </w:t>
      </w:r>
      <w:r w:rsidR="00F11D6A" w:rsidRPr="006B4B45">
        <w:rPr>
          <w:b/>
          <w:szCs w:val="24"/>
        </w:rPr>
        <w:t>i ocenia</w:t>
      </w:r>
      <w:r w:rsidRPr="006B4B45">
        <w:rPr>
          <w:b/>
          <w:szCs w:val="24"/>
        </w:rPr>
        <w:t xml:space="preserve"> </w:t>
      </w:r>
      <w:r w:rsidR="00F11D6A" w:rsidRPr="006B4B45">
        <w:rPr>
          <w:b/>
          <w:szCs w:val="24"/>
        </w:rPr>
        <w:t xml:space="preserve">ryzyko </w:t>
      </w:r>
      <w:r w:rsidR="005264D5" w:rsidRPr="006B4B45">
        <w:rPr>
          <w:b/>
          <w:szCs w:val="24"/>
        </w:rPr>
        <w:t>ML/FT</w:t>
      </w:r>
      <w:r w:rsidR="00F11D6A" w:rsidRPr="00F11D6A">
        <w:rPr>
          <w:szCs w:val="24"/>
        </w:rPr>
        <w:t xml:space="preserve"> odnoszące się do </w:t>
      </w:r>
      <w:r>
        <w:rPr>
          <w:szCs w:val="24"/>
        </w:rPr>
        <w:t>jej</w:t>
      </w:r>
      <w:r w:rsidRPr="00F11D6A">
        <w:rPr>
          <w:szCs w:val="24"/>
        </w:rPr>
        <w:t xml:space="preserve"> </w:t>
      </w:r>
      <w:r w:rsidR="00F11D6A" w:rsidRPr="00F11D6A">
        <w:rPr>
          <w:szCs w:val="24"/>
        </w:rPr>
        <w:t xml:space="preserve">działalności. </w:t>
      </w:r>
      <w:r w:rsidR="005930A9">
        <w:rPr>
          <w:szCs w:val="24"/>
        </w:rPr>
        <w:t>Ocena ta powinna wskazywać</w:t>
      </w:r>
      <w:r w:rsidR="00630AE9">
        <w:rPr>
          <w:szCs w:val="24"/>
        </w:rPr>
        <w:t>,</w:t>
      </w:r>
      <w:r w:rsidR="005930A9">
        <w:rPr>
          <w:szCs w:val="24"/>
        </w:rPr>
        <w:t xml:space="preserve"> w jakim stopniu </w:t>
      </w:r>
      <w:r w:rsidR="00FC003B">
        <w:rPr>
          <w:szCs w:val="24"/>
        </w:rPr>
        <w:t>KIP</w:t>
      </w:r>
      <w:r w:rsidR="00FF63A4">
        <w:rPr>
          <w:szCs w:val="24"/>
        </w:rPr>
        <w:t xml:space="preserve"> </w:t>
      </w:r>
      <w:r w:rsidR="005930A9">
        <w:rPr>
          <w:szCs w:val="24"/>
        </w:rPr>
        <w:t xml:space="preserve">jest podatna na wykorzystanie </w:t>
      </w:r>
      <w:r w:rsidR="00573B90">
        <w:rPr>
          <w:szCs w:val="24"/>
        </w:rPr>
        <w:br/>
      </w:r>
      <w:r w:rsidR="005930A9">
        <w:rPr>
          <w:szCs w:val="24"/>
        </w:rPr>
        <w:t xml:space="preserve">w procederze prania pieniędzy lub finansowania terroryzmu, co będzie determinowało konieczność zastosowania odpowiednich środków w celu eliminowania </w:t>
      </w:r>
      <w:r w:rsidR="00F85A2E">
        <w:rPr>
          <w:szCs w:val="24"/>
        </w:rPr>
        <w:t xml:space="preserve">tego </w:t>
      </w:r>
      <w:r w:rsidR="005930A9">
        <w:rPr>
          <w:szCs w:val="24"/>
        </w:rPr>
        <w:t>ryzyk</w:t>
      </w:r>
      <w:r w:rsidR="00F85A2E">
        <w:rPr>
          <w:szCs w:val="24"/>
        </w:rPr>
        <w:t>a</w:t>
      </w:r>
      <w:r w:rsidR="005930A9">
        <w:rPr>
          <w:szCs w:val="24"/>
        </w:rPr>
        <w:t xml:space="preserve">. </w:t>
      </w:r>
      <w:r w:rsidR="00F11D6A" w:rsidRPr="00F11D6A">
        <w:rPr>
          <w:szCs w:val="24"/>
        </w:rPr>
        <w:t>Ocena ryzyka</w:t>
      </w:r>
      <w:r w:rsidR="00D04BA1">
        <w:rPr>
          <w:szCs w:val="24"/>
        </w:rPr>
        <w:t xml:space="preserve"> ML/FT</w:t>
      </w:r>
      <w:r w:rsidR="00F11D6A" w:rsidRPr="00F11D6A">
        <w:rPr>
          <w:szCs w:val="24"/>
        </w:rPr>
        <w:t xml:space="preserve"> powinna być proporcjonalna do rozmiaru </w:t>
      </w:r>
      <w:r w:rsidR="00FF63A4">
        <w:rPr>
          <w:szCs w:val="24"/>
        </w:rPr>
        <w:t xml:space="preserve">i zakresu działania </w:t>
      </w:r>
      <w:r w:rsidR="00FC003B">
        <w:rPr>
          <w:szCs w:val="24"/>
        </w:rPr>
        <w:t>KIP</w:t>
      </w:r>
      <w:r w:rsidR="00F11D6A" w:rsidRPr="00F11D6A">
        <w:rPr>
          <w:szCs w:val="24"/>
        </w:rPr>
        <w:t xml:space="preserve">. </w:t>
      </w:r>
      <w:r w:rsidR="00F11D6A">
        <w:rPr>
          <w:szCs w:val="24"/>
        </w:rPr>
        <w:t>M</w:t>
      </w:r>
      <w:r w:rsidR="00F11D6A" w:rsidRPr="00F11D6A">
        <w:rPr>
          <w:szCs w:val="24"/>
        </w:rPr>
        <w:t>inimalny zakres czynników</w:t>
      </w:r>
      <w:r w:rsidR="00F11D6A">
        <w:rPr>
          <w:szCs w:val="24"/>
        </w:rPr>
        <w:t xml:space="preserve"> ryzyka</w:t>
      </w:r>
      <w:r w:rsidR="00F11D6A" w:rsidRPr="00F11D6A">
        <w:rPr>
          <w:szCs w:val="24"/>
        </w:rPr>
        <w:t xml:space="preserve">, które </w:t>
      </w:r>
      <w:r w:rsidR="00573B90">
        <w:rPr>
          <w:szCs w:val="24"/>
        </w:rPr>
        <w:t>muszą zostać</w:t>
      </w:r>
      <w:r w:rsidR="00573B90" w:rsidRPr="00F11D6A">
        <w:rPr>
          <w:szCs w:val="24"/>
        </w:rPr>
        <w:t xml:space="preserve"> </w:t>
      </w:r>
      <w:r w:rsidR="00F11D6A" w:rsidRPr="00F11D6A">
        <w:rPr>
          <w:szCs w:val="24"/>
        </w:rPr>
        <w:t>wzi</w:t>
      </w:r>
      <w:r w:rsidR="00F11D6A">
        <w:rPr>
          <w:szCs w:val="24"/>
        </w:rPr>
        <w:t>ęte</w:t>
      </w:r>
      <w:r w:rsidR="00F11D6A" w:rsidRPr="00F11D6A">
        <w:rPr>
          <w:szCs w:val="24"/>
        </w:rPr>
        <w:t xml:space="preserve"> pod uwagę przy przygotowywaniu oceny</w:t>
      </w:r>
      <w:r w:rsidR="00F11D6A">
        <w:rPr>
          <w:szCs w:val="24"/>
        </w:rPr>
        <w:t xml:space="preserve"> </w:t>
      </w:r>
      <w:r w:rsidR="00C85229">
        <w:rPr>
          <w:szCs w:val="24"/>
        </w:rPr>
        <w:t xml:space="preserve">ryzyka </w:t>
      </w:r>
      <w:r w:rsidR="00F11D6A">
        <w:rPr>
          <w:szCs w:val="24"/>
        </w:rPr>
        <w:t>dotycz</w:t>
      </w:r>
      <w:r w:rsidR="00D1467A">
        <w:rPr>
          <w:szCs w:val="24"/>
        </w:rPr>
        <w:t>y:</w:t>
      </w:r>
      <w:r w:rsidR="00F11D6A">
        <w:rPr>
          <w:szCs w:val="24"/>
        </w:rPr>
        <w:t xml:space="preserve"> </w:t>
      </w:r>
    </w:p>
    <w:p w14:paraId="7C736781" w14:textId="77777777" w:rsidR="00100B1D" w:rsidRDefault="00F11D6A" w:rsidP="00CE3A01">
      <w:pPr>
        <w:pStyle w:val="Akapitzlist"/>
        <w:numPr>
          <w:ilvl w:val="0"/>
          <w:numId w:val="13"/>
        </w:numPr>
        <w:spacing w:after="0"/>
        <w:ind w:left="700"/>
        <w:rPr>
          <w:szCs w:val="24"/>
        </w:rPr>
      </w:pPr>
      <w:r w:rsidRPr="00F11D6A">
        <w:rPr>
          <w:szCs w:val="24"/>
        </w:rPr>
        <w:t xml:space="preserve">klientów, </w:t>
      </w:r>
    </w:p>
    <w:p w14:paraId="7256BCFE" w14:textId="77777777" w:rsidR="00100B1D" w:rsidRDefault="00F11D6A" w:rsidP="00CE3A01">
      <w:pPr>
        <w:pStyle w:val="Akapitzlist"/>
        <w:numPr>
          <w:ilvl w:val="0"/>
          <w:numId w:val="13"/>
        </w:numPr>
        <w:spacing w:after="0"/>
        <w:ind w:left="700"/>
        <w:rPr>
          <w:szCs w:val="24"/>
        </w:rPr>
      </w:pPr>
      <w:r w:rsidRPr="00F11D6A">
        <w:rPr>
          <w:szCs w:val="24"/>
        </w:rPr>
        <w:t xml:space="preserve">państw lub obszarów geograficznych, </w:t>
      </w:r>
    </w:p>
    <w:p w14:paraId="47461F45" w14:textId="7FAD6412" w:rsidR="00100B1D" w:rsidRPr="00404ADD" w:rsidRDefault="00F11D6A" w:rsidP="00CE3A01">
      <w:pPr>
        <w:pStyle w:val="Akapitzlist"/>
        <w:numPr>
          <w:ilvl w:val="0"/>
          <w:numId w:val="13"/>
        </w:numPr>
        <w:spacing w:after="0"/>
        <w:ind w:left="700"/>
        <w:rPr>
          <w:szCs w:val="24"/>
        </w:rPr>
      </w:pPr>
      <w:r w:rsidRPr="00404ADD">
        <w:rPr>
          <w:szCs w:val="24"/>
        </w:rPr>
        <w:t>produktów, usług,</w:t>
      </w:r>
      <w:r w:rsidR="00404ADD" w:rsidRPr="00404ADD">
        <w:rPr>
          <w:szCs w:val="24"/>
        </w:rPr>
        <w:t xml:space="preserve"> </w:t>
      </w:r>
      <w:r w:rsidRPr="00404ADD">
        <w:rPr>
          <w:szCs w:val="24"/>
        </w:rPr>
        <w:t xml:space="preserve">transakcji lub kanałów ich dostaw. </w:t>
      </w:r>
    </w:p>
    <w:p w14:paraId="682A7FBE" w14:textId="51034EC0" w:rsidR="00805E55" w:rsidRDefault="00271B56" w:rsidP="00FB2234">
      <w:pPr>
        <w:spacing w:before="120"/>
        <w:ind w:left="340"/>
        <w:rPr>
          <w:szCs w:val="24"/>
        </w:rPr>
      </w:pPr>
      <w:r>
        <w:rPr>
          <w:szCs w:val="24"/>
        </w:rPr>
        <w:t>Należy zauważyć, iż w</w:t>
      </w:r>
      <w:r w:rsidR="00F11D6A" w:rsidRPr="00402447">
        <w:rPr>
          <w:szCs w:val="24"/>
        </w:rPr>
        <w:t xml:space="preserve">skazane </w:t>
      </w:r>
      <w:r w:rsidR="00100B1D">
        <w:rPr>
          <w:szCs w:val="24"/>
        </w:rPr>
        <w:t xml:space="preserve">powyżej </w:t>
      </w:r>
      <w:r w:rsidR="00F11D6A" w:rsidRPr="00402447">
        <w:rPr>
          <w:szCs w:val="24"/>
        </w:rPr>
        <w:t>czynniki ryzyka są katalogiem podstawowym</w:t>
      </w:r>
      <w:r w:rsidR="00402447">
        <w:rPr>
          <w:szCs w:val="24"/>
        </w:rPr>
        <w:t xml:space="preserve">. </w:t>
      </w:r>
      <w:r>
        <w:rPr>
          <w:szCs w:val="24"/>
        </w:rPr>
        <w:br/>
      </w:r>
      <w:r w:rsidR="00CF13F9">
        <w:rPr>
          <w:szCs w:val="24"/>
        </w:rPr>
        <w:t>KNF oczekuje, że w</w:t>
      </w:r>
      <w:r w:rsidR="005930A9">
        <w:rPr>
          <w:szCs w:val="24"/>
        </w:rPr>
        <w:t xml:space="preserve"> przypadku</w:t>
      </w:r>
      <w:r w:rsidR="00F37E8C">
        <w:rPr>
          <w:szCs w:val="24"/>
        </w:rPr>
        <w:t xml:space="preserve"> </w:t>
      </w:r>
      <w:r w:rsidR="005930A9">
        <w:rPr>
          <w:szCs w:val="24"/>
        </w:rPr>
        <w:t>dużych</w:t>
      </w:r>
      <w:r w:rsidR="00F37E8C">
        <w:rPr>
          <w:szCs w:val="24"/>
        </w:rPr>
        <w:t xml:space="preserve"> </w:t>
      </w:r>
      <w:r w:rsidR="00FC003B">
        <w:rPr>
          <w:szCs w:val="24"/>
        </w:rPr>
        <w:t>KIP</w:t>
      </w:r>
      <w:r w:rsidR="001C5DCC">
        <w:rPr>
          <w:szCs w:val="24"/>
        </w:rPr>
        <w:t xml:space="preserve">, oferujących </w:t>
      </w:r>
      <w:r w:rsidR="00FF63A4">
        <w:rPr>
          <w:szCs w:val="24"/>
        </w:rPr>
        <w:t>szeroki lub peł</w:t>
      </w:r>
      <w:r w:rsidR="009A4A8D">
        <w:rPr>
          <w:szCs w:val="24"/>
        </w:rPr>
        <w:t>e</w:t>
      </w:r>
      <w:r w:rsidR="00FF63A4">
        <w:rPr>
          <w:szCs w:val="24"/>
        </w:rPr>
        <w:t>n zakres usług płatniczych</w:t>
      </w:r>
      <w:r w:rsidR="001C5DCC">
        <w:rPr>
          <w:szCs w:val="24"/>
        </w:rPr>
        <w:t xml:space="preserve">, działających w </w:t>
      </w:r>
      <w:r w:rsidR="00F37E8C">
        <w:rPr>
          <w:szCs w:val="24"/>
        </w:rPr>
        <w:t xml:space="preserve">wielu </w:t>
      </w:r>
      <w:r w:rsidR="00404ADD">
        <w:rPr>
          <w:szCs w:val="24"/>
        </w:rPr>
        <w:t>państwach</w:t>
      </w:r>
      <w:r w:rsidR="001C5DCC">
        <w:rPr>
          <w:szCs w:val="24"/>
        </w:rPr>
        <w:t xml:space="preserve"> </w:t>
      </w:r>
      <w:r w:rsidR="00FF63A4">
        <w:rPr>
          <w:szCs w:val="24"/>
        </w:rPr>
        <w:t>Europejskiego Obszaru Gospodarczego</w:t>
      </w:r>
      <w:r w:rsidR="001C5DCC">
        <w:rPr>
          <w:szCs w:val="24"/>
        </w:rPr>
        <w:t xml:space="preserve"> </w:t>
      </w:r>
      <w:r w:rsidR="00DE7AA0">
        <w:rPr>
          <w:szCs w:val="24"/>
        </w:rPr>
        <w:t>powinny być brane</w:t>
      </w:r>
      <w:r w:rsidR="001C5DCC">
        <w:rPr>
          <w:szCs w:val="24"/>
        </w:rPr>
        <w:t xml:space="preserve"> pod uwagę dodatkowe obszary ryzyka</w:t>
      </w:r>
      <w:r w:rsidR="001C5DCC">
        <w:rPr>
          <w:rStyle w:val="Odwoanieprzypisudolnego"/>
          <w:szCs w:val="24"/>
        </w:rPr>
        <w:footnoteReference w:id="3"/>
      </w:r>
      <w:r w:rsidR="001C5DCC">
        <w:rPr>
          <w:szCs w:val="24"/>
        </w:rPr>
        <w:t xml:space="preserve">, w szczególności </w:t>
      </w:r>
      <w:r w:rsidR="00F807CB">
        <w:rPr>
          <w:szCs w:val="24"/>
        </w:rPr>
        <w:t>ryzyko w obszarze sankcji międzynarodowych.</w:t>
      </w:r>
      <w:r w:rsidR="001C5DCC">
        <w:rPr>
          <w:szCs w:val="24"/>
        </w:rPr>
        <w:t xml:space="preserve"> </w:t>
      </w:r>
      <w:r w:rsidR="00805E55">
        <w:rPr>
          <w:szCs w:val="24"/>
        </w:rPr>
        <w:t xml:space="preserve">Prawidłowo sporządzona ocena ryzyka powinna wskazywać obszary działania </w:t>
      </w:r>
      <w:r w:rsidR="00FC003B">
        <w:rPr>
          <w:szCs w:val="24"/>
        </w:rPr>
        <w:t>KIP</w:t>
      </w:r>
      <w:r w:rsidR="00404ADD">
        <w:rPr>
          <w:szCs w:val="24"/>
        </w:rPr>
        <w:t xml:space="preserve"> </w:t>
      </w:r>
      <w:r w:rsidR="00805E55">
        <w:rPr>
          <w:szCs w:val="24"/>
        </w:rPr>
        <w:t>wymagające poprawy (o ile takie zostaną zidentyfikowane) oraz podj</w:t>
      </w:r>
      <w:r w:rsidR="00C85229">
        <w:rPr>
          <w:szCs w:val="24"/>
        </w:rPr>
        <w:t>ęte</w:t>
      </w:r>
      <w:r w:rsidR="00805E55">
        <w:rPr>
          <w:szCs w:val="24"/>
        </w:rPr>
        <w:t xml:space="preserve"> działa</w:t>
      </w:r>
      <w:r w:rsidR="00C85229">
        <w:rPr>
          <w:szCs w:val="24"/>
        </w:rPr>
        <w:t>nia</w:t>
      </w:r>
      <w:r w:rsidR="00805E55">
        <w:rPr>
          <w:szCs w:val="24"/>
        </w:rPr>
        <w:t xml:space="preserve"> naprawcz</w:t>
      </w:r>
      <w:r w:rsidR="00C85229">
        <w:rPr>
          <w:szCs w:val="24"/>
        </w:rPr>
        <w:t>e</w:t>
      </w:r>
      <w:r w:rsidR="00805E55">
        <w:rPr>
          <w:szCs w:val="24"/>
        </w:rPr>
        <w:t xml:space="preserve">. </w:t>
      </w:r>
      <w:r w:rsidR="00FC003B">
        <w:rPr>
          <w:szCs w:val="24"/>
        </w:rPr>
        <w:t>KIP</w:t>
      </w:r>
      <w:r w:rsidR="00FF63A4">
        <w:rPr>
          <w:szCs w:val="24"/>
        </w:rPr>
        <w:t xml:space="preserve"> o</w:t>
      </w:r>
      <w:r w:rsidR="00402447">
        <w:rPr>
          <w:szCs w:val="24"/>
        </w:rPr>
        <w:t>ceniając</w:t>
      </w:r>
      <w:r w:rsidR="00F11D6A" w:rsidRPr="00402447">
        <w:rPr>
          <w:szCs w:val="24"/>
        </w:rPr>
        <w:t xml:space="preserve"> ryzyk</w:t>
      </w:r>
      <w:r w:rsidR="00F8438F">
        <w:rPr>
          <w:szCs w:val="24"/>
        </w:rPr>
        <w:t>o</w:t>
      </w:r>
      <w:r w:rsidR="00F11D6A" w:rsidRPr="00402447">
        <w:rPr>
          <w:szCs w:val="24"/>
        </w:rPr>
        <w:t xml:space="preserve"> </w:t>
      </w:r>
      <w:r w:rsidR="00A93BDC">
        <w:rPr>
          <w:szCs w:val="24"/>
        </w:rPr>
        <w:t xml:space="preserve">może </w:t>
      </w:r>
      <w:r w:rsidR="00F11D6A" w:rsidRPr="00524B53">
        <w:rPr>
          <w:szCs w:val="24"/>
        </w:rPr>
        <w:t>uwzględnić obowiązującą</w:t>
      </w:r>
      <w:r w:rsidR="00C85229">
        <w:rPr>
          <w:szCs w:val="24"/>
        </w:rPr>
        <w:t>,</w:t>
      </w:r>
      <w:r w:rsidR="00F11D6A" w:rsidRPr="00524B53">
        <w:rPr>
          <w:szCs w:val="24"/>
        </w:rPr>
        <w:t xml:space="preserve"> </w:t>
      </w:r>
      <w:r>
        <w:rPr>
          <w:szCs w:val="24"/>
        </w:rPr>
        <w:t>zgodnie z art. 25 ust. 1 ustawy AML</w:t>
      </w:r>
      <w:r w:rsidR="00C85229">
        <w:rPr>
          <w:szCs w:val="24"/>
        </w:rPr>
        <w:t>,</w:t>
      </w:r>
      <w:r>
        <w:rPr>
          <w:szCs w:val="24"/>
        </w:rPr>
        <w:t xml:space="preserve"> </w:t>
      </w:r>
      <w:r w:rsidR="00F11D6A" w:rsidRPr="006B4B45">
        <w:rPr>
          <w:b/>
          <w:szCs w:val="24"/>
        </w:rPr>
        <w:t>K</w:t>
      </w:r>
      <w:r w:rsidR="00E96F47" w:rsidRPr="006B4B45">
        <w:rPr>
          <w:b/>
          <w:szCs w:val="24"/>
        </w:rPr>
        <w:t xml:space="preserve">rajową </w:t>
      </w:r>
      <w:r w:rsidR="00F11D6A" w:rsidRPr="006B4B45">
        <w:rPr>
          <w:b/>
          <w:szCs w:val="24"/>
        </w:rPr>
        <w:t>O</w:t>
      </w:r>
      <w:r w:rsidR="00E96F47" w:rsidRPr="006B4B45">
        <w:rPr>
          <w:b/>
          <w:szCs w:val="24"/>
        </w:rPr>
        <w:t xml:space="preserve">cenę </w:t>
      </w:r>
      <w:r w:rsidR="00F11D6A" w:rsidRPr="006B4B45">
        <w:rPr>
          <w:b/>
          <w:szCs w:val="24"/>
        </w:rPr>
        <w:t>R</w:t>
      </w:r>
      <w:r w:rsidR="00E96F47" w:rsidRPr="006B4B45">
        <w:rPr>
          <w:b/>
          <w:szCs w:val="24"/>
        </w:rPr>
        <w:t>yzyka</w:t>
      </w:r>
      <w:r w:rsidR="00F740A3" w:rsidRPr="006B4B45">
        <w:rPr>
          <w:b/>
          <w:szCs w:val="24"/>
        </w:rPr>
        <w:t xml:space="preserve"> Prania Pieniędzy oraz Finansowania Terroryzmu</w:t>
      </w:r>
      <w:r w:rsidR="00F740A3">
        <w:rPr>
          <w:rStyle w:val="Odwoanieprzypisudolnego"/>
          <w:szCs w:val="24"/>
        </w:rPr>
        <w:footnoteReference w:id="4"/>
      </w:r>
      <w:r w:rsidR="00A93BDC">
        <w:rPr>
          <w:szCs w:val="24"/>
        </w:rPr>
        <w:t xml:space="preserve">, jak również sprawozdanie Komisji Europejskiej, o którym mowa w art. 6 ust. 1-3 </w:t>
      </w:r>
      <w:r w:rsidR="00922B63">
        <w:t xml:space="preserve">Dyrektywy Parlamentu Europejskiego i Rady (UE) 2015/849 z dnia 20 maja 2015 r. </w:t>
      </w:r>
      <w:r w:rsidR="00922B63" w:rsidRPr="00B4456A">
        <w:rPr>
          <w:i/>
        </w:rPr>
        <w:t>w sprawie zapobiegania wykorzystywaniu systemu finansowego do prania pieniędzy lub finansowania terroryzmu, zmieniająca rozporządzenie Parlamentu Europejskiego i Rady (UE) nr 648/2012 i uchylająca dyrektywę Parlamentu Europejskiego i Rady 2005/60/WE oraz dyrektywę Komisji 2006/70/WE</w:t>
      </w:r>
      <w:r w:rsidR="00A93BDC">
        <w:rPr>
          <w:szCs w:val="24"/>
        </w:rPr>
        <w:t xml:space="preserve">. </w:t>
      </w:r>
      <w:r w:rsidR="00F11D6A" w:rsidRPr="00402447">
        <w:rPr>
          <w:szCs w:val="24"/>
        </w:rPr>
        <w:t xml:space="preserve">Ustawa </w:t>
      </w:r>
      <w:r w:rsidR="008D12AC">
        <w:rPr>
          <w:szCs w:val="24"/>
        </w:rPr>
        <w:t xml:space="preserve">AML </w:t>
      </w:r>
      <w:r w:rsidR="00F11D6A" w:rsidRPr="00524B53">
        <w:rPr>
          <w:szCs w:val="24"/>
        </w:rPr>
        <w:t xml:space="preserve">nakazuje </w:t>
      </w:r>
      <w:r w:rsidR="00F11D6A" w:rsidRPr="006B4B45">
        <w:rPr>
          <w:b/>
          <w:szCs w:val="24"/>
        </w:rPr>
        <w:t>aktualizację</w:t>
      </w:r>
      <w:r w:rsidR="00F11D6A" w:rsidRPr="00524B53">
        <w:rPr>
          <w:szCs w:val="24"/>
        </w:rPr>
        <w:t xml:space="preserve"> oceny ryzyka w razie potrzeby, nie rzadziej jednak niż co </w:t>
      </w:r>
      <w:r w:rsidR="00F87FEE">
        <w:rPr>
          <w:szCs w:val="24"/>
        </w:rPr>
        <w:br/>
      </w:r>
      <w:r w:rsidR="00F11D6A" w:rsidRPr="00524B53">
        <w:rPr>
          <w:szCs w:val="24"/>
        </w:rPr>
        <w:t>2 lata</w:t>
      </w:r>
      <w:r w:rsidR="00F11D6A" w:rsidRPr="00402447">
        <w:rPr>
          <w:szCs w:val="24"/>
        </w:rPr>
        <w:t>, szczególnie w związ</w:t>
      </w:r>
      <w:r w:rsidR="00F83B45">
        <w:rPr>
          <w:szCs w:val="24"/>
        </w:rPr>
        <w:t>ku ze zmianami czynników ryzyka</w:t>
      </w:r>
      <w:r w:rsidR="00404ADD">
        <w:rPr>
          <w:rStyle w:val="Odwoanieprzypisudolnego"/>
          <w:szCs w:val="24"/>
        </w:rPr>
        <w:footnoteReference w:id="5"/>
      </w:r>
      <w:r w:rsidR="00F83B45">
        <w:rPr>
          <w:szCs w:val="24"/>
        </w:rPr>
        <w:t xml:space="preserve"> np. zbrojną agresją Federacji Rosyjskiej na Ukrainę. </w:t>
      </w:r>
      <w:r w:rsidR="008D12AC">
        <w:rPr>
          <w:szCs w:val="24"/>
        </w:rPr>
        <w:t>W tym zakresie p</w:t>
      </w:r>
      <w:r w:rsidR="00F83B45">
        <w:rPr>
          <w:szCs w:val="24"/>
        </w:rPr>
        <w:t xml:space="preserve">omocny może być </w:t>
      </w:r>
      <w:r w:rsidR="00CB6EA6">
        <w:rPr>
          <w:szCs w:val="24"/>
        </w:rPr>
        <w:t xml:space="preserve">Komunikat KNF z </w:t>
      </w:r>
      <w:r w:rsidR="00F807CB">
        <w:rPr>
          <w:szCs w:val="24"/>
        </w:rPr>
        <w:t xml:space="preserve">dnia </w:t>
      </w:r>
      <w:r w:rsidR="00CB6EA6">
        <w:rPr>
          <w:szCs w:val="24"/>
        </w:rPr>
        <w:t>10</w:t>
      </w:r>
      <w:r w:rsidR="00C82E4B">
        <w:rPr>
          <w:szCs w:val="24"/>
        </w:rPr>
        <w:t xml:space="preserve"> czerwca </w:t>
      </w:r>
      <w:r w:rsidR="00CB6EA6">
        <w:rPr>
          <w:szCs w:val="24"/>
        </w:rPr>
        <w:t xml:space="preserve">2022 r. </w:t>
      </w:r>
      <w:r w:rsidR="00CB6EA6" w:rsidRPr="008D12AC">
        <w:rPr>
          <w:i/>
          <w:szCs w:val="24"/>
        </w:rPr>
        <w:t>dotyczący sankcji i stosowania przepisów ustawy z 1.03.2018 r. o przeciwdziałaniu p</w:t>
      </w:r>
      <w:r w:rsidR="008D12AC" w:rsidRPr="008D12AC">
        <w:rPr>
          <w:i/>
          <w:szCs w:val="24"/>
        </w:rPr>
        <w:t>r</w:t>
      </w:r>
      <w:r w:rsidR="00CB6EA6" w:rsidRPr="008D12AC">
        <w:rPr>
          <w:i/>
          <w:szCs w:val="24"/>
        </w:rPr>
        <w:t>aniu pieniędzy i finansowaniu terroryzmu, w przypadku współpracy z podmiotami branży walut wirtualnych</w:t>
      </w:r>
      <w:r w:rsidR="00CB6EA6" w:rsidRPr="00D64465">
        <w:rPr>
          <w:rStyle w:val="Odwoanieprzypisudolnego"/>
          <w:szCs w:val="24"/>
        </w:rPr>
        <w:footnoteReference w:id="6"/>
      </w:r>
      <w:r w:rsidR="00F615DC" w:rsidRPr="008D12AC">
        <w:rPr>
          <w:i/>
          <w:szCs w:val="24"/>
        </w:rPr>
        <w:t>.</w:t>
      </w:r>
      <w:r w:rsidR="00F615DC">
        <w:rPr>
          <w:szCs w:val="24"/>
        </w:rPr>
        <w:t xml:space="preserve"> </w:t>
      </w:r>
      <w:r w:rsidR="00CE5488">
        <w:rPr>
          <w:szCs w:val="24"/>
        </w:rPr>
        <w:t>Ocena ryzyka powinna zostać zatwierdzon</w:t>
      </w:r>
      <w:r w:rsidR="00A66209">
        <w:rPr>
          <w:szCs w:val="24"/>
        </w:rPr>
        <w:t>a</w:t>
      </w:r>
      <w:r w:rsidR="00805E55">
        <w:rPr>
          <w:szCs w:val="24"/>
        </w:rPr>
        <w:t xml:space="preserve"> przez osobę </w:t>
      </w:r>
      <w:r w:rsidR="00F807CB">
        <w:rPr>
          <w:szCs w:val="24"/>
        </w:rPr>
        <w:t xml:space="preserve">wyznaczoną na podstawie </w:t>
      </w:r>
      <w:r w:rsidR="00805E55">
        <w:rPr>
          <w:szCs w:val="24"/>
        </w:rPr>
        <w:t xml:space="preserve">art. 7 </w:t>
      </w:r>
      <w:r w:rsidR="008D12AC">
        <w:rPr>
          <w:szCs w:val="24"/>
        </w:rPr>
        <w:t>u</w:t>
      </w:r>
      <w:r w:rsidR="00805E55">
        <w:rPr>
          <w:szCs w:val="24"/>
        </w:rPr>
        <w:t>stawy</w:t>
      </w:r>
      <w:r w:rsidR="008D12AC">
        <w:rPr>
          <w:szCs w:val="24"/>
        </w:rPr>
        <w:t xml:space="preserve"> AML</w:t>
      </w:r>
      <w:r w:rsidR="00805E55">
        <w:rPr>
          <w:szCs w:val="24"/>
        </w:rPr>
        <w:t xml:space="preserve"> lub przez zarząd </w:t>
      </w:r>
      <w:r w:rsidR="00FC003B">
        <w:rPr>
          <w:szCs w:val="24"/>
        </w:rPr>
        <w:t>KIP</w:t>
      </w:r>
      <w:r w:rsidR="00805E55">
        <w:rPr>
          <w:szCs w:val="24"/>
        </w:rPr>
        <w:t>.</w:t>
      </w:r>
    </w:p>
    <w:p w14:paraId="41738885" w14:textId="37836F52" w:rsidR="00F11D6A" w:rsidRPr="00402447" w:rsidRDefault="00F11D6A" w:rsidP="00FB2234">
      <w:pPr>
        <w:spacing w:before="120"/>
        <w:ind w:left="340"/>
        <w:rPr>
          <w:szCs w:val="24"/>
        </w:rPr>
      </w:pPr>
      <w:r w:rsidRPr="00402447">
        <w:rPr>
          <w:szCs w:val="24"/>
        </w:rPr>
        <w:t xml:space="preserve">Kwestie związane z oceną ryzyka zostały </w:t>
      </w:r>
      <w:r w:rsidR="00F807CB">
        <w:rPr>
          <w:szCs w:val="24"/>
        </w:rPr>
        <w:t xml:space="preserve">również </w:t>
      </w:r>
      <w:r w:rsidRPr="00402447">
        <w:rPr>
          <w:szCs w:val="24"/>
        </w:rPr>
        <w:t xml:space="preserve">przedstawione przez GIIF w </w:t>
      </w:r>
      <w:r w:rsidRPr="00341761">
        <w:rPr>
          <w:i/>
          <w:szCs w:val="24"/>
        </w:rPr>
        <w:t>Komunikacie nr</w:t>
      </w:r>
      <w:r w:rsidR="00F807CB">
        <w:rPr>
          <w:i/>
          <w:szCs w:val="24"/>
        </w:rPr>
        <w:t> </w:t>
      </w:r>
      <w:r w:rsidRPr="00341761">
        <w:rPr>
          <w:i/>
          <w:szCs w:val="24"/>
        </w:rPr>
        <w:t>36</w:t>
      </w:r>
      <w:r w:rsidR="007632C3" w:rsidRPr="00341761">
        <w:rPr>
          <w:i/>
          <w:szCs w:val="24"/>
        </w:rPr>
        <w:t xml:space="preserve"> </w:t>
      </w:r>
      <w:r w:rsidR="007632C3" w:rsidRPr="00341761">
        <w:rPr>
          <w:i/>
        </w:rPr>
        <w:t>w sprawie oceny ryzyka instytucji obowiązanej</w:t>
      </w:r>
      <w:r>
        <w:rPr>
          <w:rStyle w:val="Odwoanieprzypisudolnego"/>
          <w:szCs w:val="24"/>
        </w:rPr>
        <w:footnoteReference w:id="7"/>
      </w:r>
      <w:r w:rsidRPr="00402447">
        <w:rPr>
          <w:szCs w:val="24"/>
        </w:rPr>
        <w:t xml:space="preserve"> oraz w </w:t>
      </w:r>
      <w:r w:rsidRPr="00402447">
        <w:rPr>
          <w:i/>
          <w:szCs w:val="24"/>
        </w:rPr>
        <w:t>Stanowisku UKNF dotyczącym oceny ryzyka instytucji obowiązanej</w:t>
      </w:r>
      <w:r w:rsidRPr="00402447">
        <w:rPr>
          <w:szCs w:val="24"/>
        </w:rPr>
        <w:t xml:space="preserve"> </w:t>
      </w:r>
      <w:r w:rsidR="008D12AC">
        <w:rPr>
          <w:szCs w:val="24"/>
        </w:rPr>
        <w:t xml:space="preserve">z </w:t>
      </w:r>
      <w:r w:rsidRPr="00402447">
        <w:rPr>
          <w:szCs w:val="24"/>
        </w:rPr>
        <w:t>dnia 15</w:t>
      </w:r>
      <w:r w:rsidR="00C82E4B">
        <w:rPr>
          <w:szCs w:val="24"/>
        </w:rPr>
        <w:t xml:space="preserve"> kwietnia </w:t>
      </w:r>
      <w:r w:rsidRPr="00402447">
        <w:rPr>
          <w:szCs w:val="24"/>
        </w:rPr>
        <w:t>2020 r.</w:t>
      </w:r>
      <w:r>
        <w:rPr>
          <w:rStyle w:val="Odwoanieprzypisudolnego"/>
          <w:szCs w:val="24"/>
        </w:rPr>
        <w:footnoteReference w:id="8"/>
      </w:r>
    </w:p>
    <w:p w14:paraId="084930C2" w14:textId="77777777" w:rsidR="00E96F47" w:rsidRPr="00CE41C6" w:rsidRDefault="005264D5" w:rsidP="00CE3A01">
      <w:pPr>
        <w:pStyle w:val="Akapitzlist"/>
        <w:numPr>
          <w:ilvl w:val="0"/>
          <w:numId w:val="4"/>
        </w:numPr>
        <w:spacing w:before="120" w:after="0"/>
        <w:ind w:left="340"/>
        <w:rPr>
          <w:b/>
        </w:rPr>
      </w:pPr>
      <w:r>
        <w:rPr>
          <w:b/>
        </w:rPr>
        <w:lastRenderedPageBreak/>
        <w:t>z</w:t>
      </w:r>
      <w:r w:rsidR="00E96F47" w:rsidRPr="00CE41C6">
        <w:rPr>
          <w:b/>
        </w:rPr>
        <w:t xml:space="preserve">asad rozpoznawania i oceny ryzyka </w:t>
      </w:r>
      <w:r>
        <w:rPr>
          <w:b/>
        </w:rPr>
        <w:t>ML/FT</w:t>
      </w:r>
      <w:r w:rsidR="00E96F47" w:rsidRPr="00CE41C6">
        <w:rPr>
          <w:b/>
        </w:rPr>
        <w:t xml:space="preserve"> związanego z danymi stosunkami gospodarczymi lub transakcją okazjonalną, w tym zasad weryfikacji i aktualizacji uprzednio dokonanej oceny ryzyka</w:t>
      </w:r>
      <w:r>
        <w:rPr>
          <w:b/>
        </w:rPr>
        <w:t>;</w:t>
      </w:r>
    </w:p>
    <w:p w14:paraId="7AE03F2A" w14:textId="77777777" w:rsidR="00AB130E" w:rsidRDefault="00E96F47" w:rsidP="00891097">
      <w:pPr>
        <w:pStyle w:val="Akapitzlist"/>
        <w:spacing w:before="120" w:after="0"/>
        <w:ind w:left="340"/>
      </w:pPr>
      <w:r w:rsidRPr="008E4B9A">
        <w:t xml:space="preserve">Zgodnie z </w:t>
      </w:r>
      <w:r w:rsidR="003673F6">
        <w:t>przepisami</w:t>
      </w:r>
      <w:r w:rsidR="003673F6" w:rsidRPr="008E4B9A">
        <w:t xml:space="preserve"> </w:t>
      </w:r>
      <w:r w:rsidR="004C1ACC">
        <w:t>u</w:t>
      </w:r>
      <w:r w:rsidRPr="008E4B9A">
        <w:t xml:space="preserve">stawy </w:t>
      </w:r>
      <w:r w:rsidR="004C1ACC">
        <w:t xml:space="preserve">AML, </w:t>
      </w:r>
      <w:r w:rsidR="003673F6">
        <w:t>IO</w:t>
      </w:r>
      <w:r w:rsidR="00F16F2C">
        <w:t xml:space="preserve"> </w:t>
      </w:r>
      <w:r w:rsidRPr="008E4B9A">
        <w:t xml:space="preserve">zobligowana jest do </w:t>
      </w:r>
      <w:r>
        <w:t>rozpoznania i</w:t>
      </w:r>
      <w:r w:rsidR="00100B1D">
        <w:t xml:space="preserve"> </w:t>
      </w:r>
      <w:r>
        <w:t>oceny ryzyka ML/FT związanego ze stosunkami gospodarczymi lub transakcją okazjonalną</w:t>
      </w:r>
      <w:r w:rsidR="00AB130E">
        <w:t>, a zarazem dokonania oceny poziomu rozpoznanego ryzyka</w:t>
      </w:r>
      <w:r w:rsidRPr="008E4B9A">
        <w:t xml:space="preserve">. </w:t>
      </w:r>
      <w:r w:rsidR="00F807CB">
        <w:t>P</w:t>
      </w:r>
      <w:r w:rsidR="00142EAC">
        <w:t>odstawowymi</w:t>
      </w:r>
      <w:r w:rsidRPr="008E4B9A">
        <w:t xml:space="preserve"> </w:t>
      </w:r>
      <w:r w:rsidRPr="006B4B45">
        <w:rPr>
          <w:b/>
        </w:rPr>
        <w:t>kryteriami</w:t>
      </w:r>
      <w:r w:rsidRPr="008E4B9A">
        <w:t xml:space="preserve"> przy </w:t>
      </w:r>
      <w:r>
        <w:t>rozpoznaniu</w:t>
      </w:r>
      <w:r w:rsidRPr="008E4B9A">
        <w:t xml:space="preserve"> ryzyka są: </w:t>
      </w:r>
    </w:p>
    <w:p w14:paraId="07E43369" w14:textId="5FDFA9F6" w:rsidR="00AB130E" w:rsidRDefault="006A2CA0" w:rsidP="00CE3A01">
      <w:pPr>
        <w:pStyle w:val="Akapitzlist"/>
        <w:numPr>
          <w:ilvl w:val="0"/>
          <w:numId w:val="14"/>
        </w:numPr>
        <w:spacing w:after="0"/>
        <w:ind w:left="700"/>
      </w:pPr>
      <w:r>
        <w:t>rodzaj klienta,</w:t>
      </w:r>
    </w:p>
    <w:p w14:paraId="5894EE14" w14:textId="11D0A2D4" w:rsidR="00AB130E" w:rsidRDefault="006A2CA0" w:rsidP="00CE3A01">
      <w:pPr>
        <w:pStyle w:val="Akapitzlist"/>
        <w:numPr>
          <w:ilvl w:val="0"/>
          <w:numId w:val="14"/>
        </w:numPr>
        <w:spacing w:after="0"/>
        <w:ind w:left="700"/>
      </w:pPr>
      <w:r>
        <w:t>obszar geograficzny,</w:t>
      </w:r>
      <w:r w:rsidR="00E96F47">
        <w:t xml:space="preserve"> </w:t>
      </w:r>
    </w:p>
    <w:p w14:paraId="647E522D" w14:textId="4DBC2184" w:rsidR="00AB130E" w:rsidRDefault="006A2CA0" w:rsidP="00CE3A01">
      <w:pPr>
        <w:pStyle w:val="Akapitzlist"/>
        <w:numPr>
          <w:ilvl w:val="0"/>
          <w:numId w:val="14"/>
        </w:numPr>
        <w:spacing w:after="0"/>
        <w:ind w:left="700"/>
      </w:pPr>
      <w:r>
        <w:t>przeznaczenie rachunku,</w:t>
      </w:r>
      <w:r w:rsidR="00E96F47">
        <w:t xml:space="preserve"> </w:t>
      </w:r>
    </w:p>
    <w:p w14:paraId="5D236B2D" w14:textId="7A2406C8" w:rsidR="00AB130E" w:rsidRDefault="00E96F47" w:rsidP="00CE3A01">
      <w:pPr>
        <w:pStyle w:val="Akapitzlist"/>
        <w:numPr>
          <w:ilvl w:val="0"/>
          <w:numId w:val="14"/>
        </w:numPr>
        <w:spacing w:after="0"/>
        <w:ind w:left="700"/>
      </w:pPr>
      <w:r>
        <w:t>rodzaj produktów, u</w:t>
      </w:r>
      <w:r w:rsidR="006A2CA0">
        <w:t>sług i sposobów ich dystrybucji,</w:t>
      </w:r>
      <w:r>
        <w:t xml:space="preserve"> </w:t>
      </w:r>
    </w:p>
    <w:p w14:paraId="32D38D97" w14:textId="6048C573" w:rsidR="00AB130E" w:rsidRDefault="00E96F47" w:rsidP="00CE3A01">
      <w:pPr>
        <w:pStyle w:val="Akapitzlist"/>
        <w:numPr>
          <w:ilvl w:val="0"/>
          <w:numId w:val="14"/>
        </w:numPr>
        <w:spacing w:after="0"/>
        <w:ind w:left="700"/>
      </w:pPr>
      <w:r>
        <w:t>poziom wartości majątkowych deponowanych przez klienta lub wartości przeprowadzonych transakcji</w:t>
      </w:r>
      <w:r w:rsidR="006A2CA0">
        <w:t>,</w:t>
      </w:r>
      <w:r>
        <w:t xml:space="preserve"> </w:t>
      </w:r>
    </w:p>
    <w:p w14:paraId="78EBB770" w14:textId="77777777" w:rsidR="00E96F47" w:rsidRPr="008E4B9A" w:rsidRDefault="00E96F47" w:rsidP="00CE3A01">
      <w:pPr>
        <w:pStyle w:val="Akapitzlist"/>
        <w:numPr>
          <w:ilvl w:val="0"/>
          <w:numId w:val="14"/>
        </w:numPr>
        <w:spacing w:after="0"/>
        <w:ind w:left="700"/>
      </w:pPr>
      <w:r>
        <w:t>cel, regularność lub czas trwania stosunków gospodarczych.</w:t>
      </w:r>
    </w:p>
    <w:p w14:paraId="05E93EE0" w14:textId="6CD64D1E" w:rsidR="00E96F47" w:rsidRDefault="00EB5E7B" w:rsidP="00173396">
      <w:pPr>
        <w:pStyle w:val="Podtytu"/>
        <w:spacing w:before="120" w:after="0"/>
        <w:ind w:left="340"/>
      </w:pPr>
      <w:r>
        <w:t xml:space="preserve">KNF oczekuje, że </w:t>
      </w:r>
      <w:r w:rsidR="00F77CC4" w:rsidRPr="004C1ACC">
        <w:rPr>
          <w:i/>
        </w:rPr>
        <w:t>Procedura</w:t>
      </w:r>
      <w:r w:rsidR="00F77CC4">
        <w:t xml:space="preserve"> zawierać</w:t>
      </w:r>
      <w:r>
        <w:t xml:space="preserve"> będzie</w:t>
      </w:r>
      <w:r w:rsidR="00F77CC4">
        <w:t xml:space="preserve"> opis praktycznego przebiegu procesu klasyfikowania klientów do poszczególnych kategorii ryzyka</w:t>
      </w:r>
      <w:r w:rsidR="004C1ACC">
        <w:t>, czyli opis matrycy ryzyka wraz ze wskazaniem czynników determinujących ocenę ryzyka oraz sposób jego wyliczenia.</w:t>
      </w:r>
    </w:p>
    <w:p w14:paraId="601DBC2A" w14:textId="77777777" w:rsidR="004A5186" w:rsidRDefault="00E96F47" w:rsidP="00173396">
      <w:pPr>
        <w:spacing w:before="120"/>
        <w:ind w:left="340"/>
      </w:pPr>
      <w:r w:rsidRPr="00123B4F">
        <w:t xml:space="preserve">Najczęściej </w:t>
      </w:r>
      <w:r>
        <w:t>stosowanymi</w:t>
      </w:r>
      <w:r w:rsidRPr="00123B4F">
        <w:t xml:space="preserve"> kategoriami </w:t>
      </w:r>
      <w:r>
        <w:t xml:space="preserve">ryzyka ML/FT </w:t>
      </w:r>
      <w:r w:rsidR="004A5186">
        <w:t xml:space="preserve">są: kategoria ryzyka niskiego, normalnego, wysokiego oraz nieakceptowalnego. Przyznanie ryzyka nieakceptowalnego jest jednoznaczne </w:t>
      </w:r>
      <w:r w:rsidR="00C33D35">
        <w:br/>
      </w:r>
      <w:r w:rsidR="004A5186">
        <w:t>z nienawiązywaniem relacji z klientem lub rozwiązanie</w:t>
      </w:r>
      <w:r w:rsidR="00173396">
        <w:t>m</w:t>
      </w:r>
      <w:r w:rsidR="004A5186">
        <w:t xml:space="preserve"> już istniejącej relacji. </w:t>
      </w:r>
    </w:p>
    <w:p w14:paraId="6FC87836" w14:textId="7AFD329F" w:rsidR="004F2BC8" w:rsidRPr="00C26FBA" w:rsidRDefault="004A5186" w:rsidP="006B4B45">
      <w:pPr>
        <w:pStyle w:val="Nagwek2"/>
        <w:shd w:val="clear" w:color="auto" w:fill="FFFFFF"/>
        <w:spacing w:before="120" w:beforeAutospacing="0" w:after="0" w:afterAutospacing="0" w:line="276" w:lineRule="auto"/>
        <w:ind w:left="340"/>
        <w:jc w:val="both"/>
        <w:textAlignment w:val="baseline"/>
        <w:rPr>
          <w:b w:val="0"/>
          <w:color w:val="1B1B1B"/>
          <w:sz w:val="24"/>
          <w:szCs w:val="24"/>
        </w:rPr>
      </w:pPr>
      <w:r w:rsidRPr="004F2BC8">
        <w:rPr>
          <w:b w:val="0"/>
          <w:sz w:val="24"/>
          <w:szCs w:val="24"/>
        </w:rPr>
        <w:t xml:space="preserve">W czasie trwania stosunków gospodarczych z klientem </w:t>
      </w:r>
      <w:r w:rsidR="00FC003B">
        <w:rPr>
          <w:b w:val="0"/>
          <w:sz w:val="24"/>
          <w:szCs w:val="24"/>
        </w:rPr>
        <w:t>KIP</w:t>
      </w:r>
      <w:r w:rsidR="00087274" w:rsidRPr="004F2BC8">
        <w:rPr>
          <w:b w:val="0"/>
          <w:sz w:val="24"/>
          <w:szCs w:val="24"/>
        </w:rPr>
        <w:t xml:space="preserve"> powinna uwzględnić </w:t>
      </w:r>
      <w:r w:rsidR="00C33D35">
        <w:rPr>
          <w:b w:val="0"/>
          <w:sz w:val="24"/>
          <w:szCs w:val="24"/>
        </w:rPr>
        <w:br/>
      </w:r>
      <w:r w:rsidR="00087274" w:rsidRPr="004F2BC8">
        <w:rPr>
          <w:b w:val="0"/>
          <w:sz w:val="24"/>
          <w:szCs w:val="24"/>
        </w:rPr>
        <w:t xml:space="preserve">w </w:t>
      </w:r>
      <w:r w:rsidR="00087274" w:rsidRPr="00173396">
        <w:rPr>
          <w:b w:val="0"/>
          <w:i/>
          <w:sz w:val="24"/>
          <w:szCs w:val="24"/>
        </w:rPr>
        <w:t>Procedurze</w:t>
      </w:r>
      <w:r w:rsidR="00087274" w:rsidRPr="004F2BC8">
        <w:rPr>
          <w:b w:val="0"/>
          <w:sz w:val="24"/>
          <w:szCs w:val="24"/>
        </w:rPr>
        <w:t xml:space="preserve"> konieczność zmiany oceny ryzyka klienta w przypadku ujawnienia okoliczności, które mają na nią wpływ oraz w trakcie </w:t>
      </w:r>
      <w:r w:rsidR="005264D5" w:rsidRPr="004F2BC8">
        <w:rPr>
          <w:b w:val="0"/>
          <w:sz w:val="24"/>
          <w:szCs w:val="24"/>
        </w:rPr>
        <w:t>okresow</w:t>
      </w:r>
      <w:r w:rsidR="00087274" w:rsidRPr="004F2BC8">
        <w:rPr>
          <w:b w:val="0"/>
          <w:sz w:val="24"/>
          <w:szCs w:val="24"/>
        </w:rPr>
        <w:t>ej</w:t>
      </w:r>
      <w:r w:rsidR="005264D5" w:rsidRPr="004F2BC8">
        <w:rPr>
          <w:b w:val="0"/>
          <w:sz w:val="24"/>
          <w:szCs w:val="24"/>
        </w:rPr>
        <w:t xml:space="preserve"> weryfikacj</w:t>
      </w:r>
      <w:r w:rsidR="00F807CB">
        <w:rPr>
          <w:b w:val="0"/>
          <w:sz w:val="24"/>
          <w:szCs w:val="24"/>
        </w:rPr>
        <w:t>i</w:t>
      </w:r>
      <w:r w:rsidR="005264D5" w:rsidRPr="004F2BC8">
        <w:rPr>
          <w:b w:val="0"/>
          <w:sz w:val="24"/>
          <w:szCs w:val="24"/>
        </w:rPr>
        <w:t xml:space="preserve"> </w:t>
      </w:r>
      <w:r w:rsidR="00F807CB">
        <w:rPr>
          <w:b w:val="0"/>
          <w:sz w:val="24"/>
          <w:szCs w:val="24"/>
        </w:rPr>
        <w:t xml:space="preserve">oceny </w:t>
      </w:r>
      <w:r w:rsidR="005264D5" w:rsidRPr="004F2BC8">
        <w:rPr>
          <w:b w:val="0"/>
          <w:sz w:val="24"/>
          <w:szCs w:val="24"/>
        </w:rPr>
        <w:t>ryzyka</w:t>
      </w:r>
      <w:r w:rsidR="004F2BC8" w:rsidRPr="004F2BC8">
        <w:rPr>
          <w:b w:val="0"/>
          <w:sz w:val="24"/>
          <w:szCs w:val="24"/>
        </w:rPr>
        <w:t xml:space="preserve">, stosownie do </w:t>
      </w:r>
      <w:r w:rsidR="00173396">
        <w:rPr>
          <w:b w:val="0"/>
          <w:sz w:val="24"/>
          <w:szCs w:val="24"/>
        </w:rPr>
        <w:t xml:space="preserve">wytycznych zawartych w </w:t>
      </w:r>
      <w:r w:rsidR="004F2BC8" w:rsidRPr="004F2BC8">
        <w:rPr>
          <w:b w:val="0"/>
          <w:color w:val="1B1B1B"/>
          <w:sz w:val="24"/>
          <w:szCs w:val="24"/>
        </w:rPr>
        <w:t>Komunika</w:t>
      </w:r>
      <w:r w:rsidR="00173396">
        <w:rPr>
          <w:b w:val="0"/>
          <w:color w:val="1B1B1B"/>
          <w:sz w:val="24"/>
          <w:szCs w:val="24"/>
        </w:rPr>
        <w:t>cie</w:t>
      </w:r>
      <w:r w:rsidR="004F2BC8">
        <w:rPr>
          <w:b w:val="0"/>
          <w:color w:val="1B1B1B"/>
          <w:sz w:val="24"/>
          <w:szCs w:val="24"/>
        </w:rPr>
        <w:t xml:space="preserve"> GIIF</w:t>
      </w:r>
      <w:r w:rsidR="004F2BC8" w:rsidRPr="00686BCE">
        <w:rPr>
          <w:b w:val="0"/>
          <w:color w:val="1B1B1B"/>
          <w:sz w:val="24"/>
          <w:szCs w:val="24"/>
        </w:rPr>
        <w:t xml:space="preserve"> nr 45 </w:t>
      </w:r>
      <w:r w:rsidR="004F2BC8" w:rsidRPr="004F2BC8">
        <w:rPr>
          <w:b w:val="0"/>
          <w:i/>
          <w:color w:val="1B1B1B"/>
          <w:sz w:val="24"/>
          <w:szCs w:val="24"/>
        </w:rPr>
        <w:t>w sprawie oceniania informacji uzyskiwanych o klientach przez instytucje obowiązane i działań w przypadku braku możliwości zastosowania środków bezpieczeństwa finansowego</w:t>
      </w:r>
      <w:r w:rsidR="004F2BC8">
        <w:rPr>
          <w:rStyle w:val="Odwoanieprzypisudolnego"/>
          <w:b w:val="0"/>
          <w:color w:val="1B1B1B"/>
          <w:sz w:val="24"/>
          <w:szCs w:val="24"/>
        </w:rPr>
        <w:footnoteReference w:id="9"/>
      </w:r>
      <w:r w:rsidR="00F937A9">
        <w:rPr>
          <w:b w:val="0"/>
          <w:color w:val="1B1B1B"/>
          <w:sz w:val="24"/>
          <w:szCs w:val="24"/>
        </w:rPr>
        <w:t>.</w:t>
      </w:r>
    </w:p>
    <w:p w14:paraId="78B8B177" w14:textId="0CAD3093" w:rsidR="005264D5" w:rsidRDefault="0049532E" w:rsidP="000525CD">
      <w:pPr>
        <w:spacing w:before="120"/>
        <w:ind w:left="340"/>
      </w:pPr>
      <w:r>
        <w:t>Ustawa AML nie precyzuje jak często ocena ryzyka klienta powin</w:t>
      </w:r>
      <w:r w:rsidR="0016565B">
        <w:t xml:space="preserve">na być aktualizowana, </w:t>
      </w:r>
      <w:r w:rsidR="00C37F27">
        <w:br/>
      </w:r>
      <w:r w:rsidR="0016565B">
        <w:t>w związku z tym</w:t>
      </w:r>
      <w:r w:rsidR="00434DEA">
        <w:t xml:space="preserve"> </w:t>
      </w:r>
      <w:r w:rsidR="0016565B">
        <w:t>przedmiotowy</w:t>
      </w:r>
      <w:r w:rsidR="00434DEA">
        <w:t xml:space="preserve"> proces </w:t>
      </w:r>
      <w:r w:rsidR="0016565B">
        <w:t>powinien wynikać z oceny</w:t>
      </w:r>
      <w:r w:rsidR="00434DEA">
        <w:t xml:space="preserve"> ryzyka prania pieniędzy </w:t>
      </w:r>
      <w:r w:rsidR="00C37F27">
        <w:br/>
      </w:r>
      <w:r w:rsidR="00434DEA">
        <w:t>i finansowania terroryzmu</w:t>
      </w:r>
      <w:r w:rsidR="0016565B">
        <w:t xml:space="preserve"> odnoszącego się do działalności KIP</w:t>
      </w:r>
      <w:r w:rsidR="00D73BFB">
        <w:t xml:space="preserve"> oraz jej agentów</w:t>
      </w:r>
      <w:r w:rsidR="0016565B">
        <w:t>.</w:t>
      </w:r>
      <w:r>
        <w:t xml:space="preserve"> </w:t>
      </w:r>
      <w:r w:rsidR="0016565B">
        <w:t>Jednak</w:t>
      </w:r>
      <w:r w:rsidR="00A67E86">
        <w:t xml:space="preserve">, </w:t>
      </w:r>
      <w:r>
        <w:t>b</w:t>
      </w:r>
      <w:r w:rsidR="00FF63A4">
        <w:t>iorąc pod uwagę</w:t>
      </w:r>
      <w:r w:rsidR="00087274">
        <w:t xml:space="preserve"> praktyk</w:t>
      </w:r>
      <w:r w:rsidR="00FF63A4">
        <w:t>ę</w:t>
      </w:r>
      <w:r w:rsidR="00087274">
        <w:t xml:space="preserve"> rynkową</w:t>
      </w:r>
      <w:r w:rsidR="005264D5">
        <w:t xml:space="preserve"> </w:t>
      </w:r>
      <w:r w:rsidR="00FF63A4">
        <w:t xml:space="preserve">za zasadne rozwiązanie należy przyjąć, aby </w:t>
      </w:r>
      <w:r w:rsidR="00173396">
        <w:t>okresowa</w:t>
      </w:r>
      <w:r w:rsidR="00087274">
        <w:t xml:space="preserve"> weryfikacja</w:t>
      </w:r>
      <w:r w:rsidR="00173396">
        <w:t xml:space="preserve"> oceny ryzyka</w:t>
      </w:r>
      <w:r w:rsidR="00087274">
        <w:t xml:space="preserve"> odbywa</w:t>
      </w:r>
      <w:r w:rsidR="00FF63A4">
        <w:t>ła</w:t>
      </w:r>
      <w:r w:rsidR="00087274">
        <w:t xml:space="preserve"> się </w:t>
      </w:r>
      <w:r w:rsidR="005264D5">
        <w:t>w odniesieniu</w:t>
      </w:r>
      <w:r w:rsidR="00087274">
        <w:t xml:space="preserve"> do klientów zaklasyfikowanych do</w:t>
      </w:r>
      <w:r w:rsidR="00E96F47" w:rsidRPr="00123B4F">
        <w:t xml:space="preserve">: </w:t>
      </w:r>
    </w:p>
    <w:p w14:paraId="607D1A30" w14:textId="71D26779" w:rsidR="005264D5" w:rsidRDefault="00E96F47" w:rsidP="00CE3A01">
      <w:pPr>
        <w:pStyle w:val="Akapitzlist"/>
        <w:numPr>
          <w:ilvl w:val="0"/>
          <w:numId w:val="15"/>
        </w:numPr>
        <w:spacing w:after="0"/>
        <w:ind w:left="700"/>
      </w:pPr>
      <w:r w:rsidRPr="00123B4F">
        <w:t>niskie</w:t>
      </w:r>
      <w:r w:rsidR="005264D5">
        <w:t xml:space="preserve">go </w:t>
      </w:r>
      <w:r w:rsidR="005264D5" w:rsidRPr="00A93890">
        <w:t xml:space="preserve">ryzyka </w:t>
      </w:r>
      <w:r w:rsidR="003B7773">
        <w:t xml:space="preserve">– </w:t>
      </w:r>
      <w:r w:rsidR="005264D5" w:rsidRPr="00A93890">
        <w:t>nie rzad</w:t>
      </w:r>
      <w:r w:rsidR="005264D5">
        <w:t>ziej</w:t>
      </w:r>
      <w:r w:rsidR="005264D5" w:rsidRPr="00A93890">
        <w:t xml:space="preserve"> niż</w:t>
      </w:r>
      <w:r w:rsidR="005264D5">
        <w:t xml:space="preserve"> co </w:t>
      </w:r>
      <w:r w:rsidR="00173396">
        <w:t>4</w:t>
      </w:r>
      <w:r w:rsidR="005264D5">
        <w:t xml:space="preserve"> – </w:t>
      </w:r>
      <w:r w:rsidR="00173396">
        <w:t>5</w:t>
      </w:r>
      <w:r w:rsidR="005264D5">
        <w:t xml:space="preserve"> lat</w:t>
      </w:r>
      <w:r w:rsidRPr="00123B4F">
        <w:t xml:space="preserve">, </w:t>
      </w:r>
    </w:p>
    <w:p w14:paraId="3A629C4C" w14:textId="77777777" w:rsidR="005264D5" w:rsidRDefault="00E96F47" w:rsidP="00CE3A01">
      <w:pPr>
        <w:pStyle w:val="Akapitzlist"/>
        <w:numPr>
          <w:ilvl w:val="0"/>
          <w:numId w:val="15"/>
        </w:numPr>
        <w:spacing w:after="0"/>
        <w:ind w:left="700"/>
      </w:pPr>
      <w:r w:rsidRPr="00123B4F">
        <w:t>standardowe</w:t>
      </w:r>
      <w:r w:rsidR="005264D5">
        <w:t xml:space="preserve">go ryzyka </w:t>
      </w:r>
      <w:r w:rsidR="003B7773">
        <w:t xml:space="preserve">– </w:t>
      </w:r>
      <w:r w:rsidR="005264D5">
        <w:t>nie rzadziej niż co 2-3 lata</w:t>
      </w:r>
      <w:r w:rsidRPr="00123B4F">
        <w:t xml:space="preserve">, </w:t>
      </w:r>
    </w:p>
    <w:p w14:paraId="7412E8EC" w14:textId="77777777" w:rsidR="005264D5" w:rsidRDefault="00E96F47" w:rsidP="00CE3A01">
      <w:pPr>
        <w:pStyle w:val="Akapitzlist"/>
        <w:numPr>
          <w:ilvl w:val="0"/>
          <w:numId w:val="15"/>
        </w:numPr>
        <w:spacing w:after="0"/>
        <w:ind w:left="700"/>
      </w:pPr>
      <w:r w:rsidRPr="00123B4F">
        <w:t>wysokie</w:t>
      </w:r>
      <w:r w:rsidR="005264D5">
        <w:t xml:space="preserve">go </w:t>
      </w:r>
      <w:r w:rsidR="005264D5" w:rsidRPr="005264D5">
        <w:t xml:space="preserve">ryzyka </w:t>
      </w:r>
      <w:r w:rsidR="003B7773">
        <w:t xml:space="preserve">– </w:t>
      </w:r>
      <w:r w:rsidR="005264D5" w:rsidRPr="005264D5">
        <w:t>nie rzadziej niż raz do roku</w:t>
      </w:r>
      <w:r w:rsidR="00087274">
        <w:t>.</w:t>
      </w:r>
      <w:r w:rsidR="00100B1D">
        <w:t xml:space="preserve"> </w:t>
      </w:r>
    </w:p>
    <w:p w14:paraId="147E935C" w14:textId="77777777" w:rsidR="00F075E1" w:rsidRPr="00D64465" w:rsidRDefault="00F075E1" w:rsidP="00D64465">
      <w:pPr>
        <w:pStyle w:val="Tekstkomentarza"/>
        <w:spacing w:before="120"/>
        <w:ind w:left="340"/>
        <w:rPr>
          <w:sz w:val="24"/>
          <w:szCs w:val="24"/>
        </w:rPr>
      </w:pPr>
      <w:r w:rsidRPr="00D64465">
        <w:rPr>
          <w:sz w:val="24"/>
          <w:szCs w:val="24"/>
        </w:rPr>
        <w:t xml:space="preserve">Proces okresowej weryfikacji klienta powinien być nakierowany na weryfikację wszystkich informacji o kliencie mających wpływ na ocenę </w:t>
      </w:r>
      <w:r w:rsidR="00C33D35">
        <w:rPr>
          <w:sz w:val="24"/>
          <w:szCs w:val="24"/>
        </w:rPr>
        <w:t xml:space="preserve">jego </w:t>
      </w:r>
      <w:r w:rsidRPr="00D64465">
        <w:rPr>
          <w:sz w:val="24"/>
          <w:szCs w:val="24"/>
        </w:rPr>
        <w:t>ryzyka.</w:t>
      </w:r>
    </w:p>
    <w:p w14:paraId="17A3514D" w14:textId="496F2A96" w:rsidR="00327830" w:rsidRPr="00327830" w:rsidRDefault="005C0E15" w:rsidP="00EC3B3E">
      <w:pPr>
        <w:pStyle w:val="Podtytu"/>
        <w:spacing w:before="120" w:after="0"/>
        <w:ind w:left="340"/>
      </w:pPr>
      <w:r>
        <w:t xml:space="preserve">KNF oczekuje, że </w:t>
      </w:r>
      <w:r w:rsidR="00637387" w:rsidRPr="00173396">
        <w:rPr>
          <w:i/>
        </w:rPr>
        <w:t>Procedura</w:t>
      </w:r>
      <w:r w:rsidR="00637387">
        <w:t xml:space="preserve"> określać</w:t>
      </w:r>
      <w:r>
        <w:t xml:space="preserve"> będzie</w:t>
      </w:r>
      <w:r w:rsidR="00637387">
        <w:t xml:space="preserve"> czynności</w:t>
      </w:r>
      <w:r w:rsidR="00487520">
        <w:t>,</w:t>
      </w:r>
      <w:r w:rsidR="00C33D35">
        <w:t xml:space="preserve"> jakie powinny być </w:t>
      </w:r>
      <w:r w:rsidR="00637387">
        <w:t xml:space="preserve">wykonane </w:t>
      </w:r>
      <w:r w:rsidR="00C33D35">
        <w:br/>
      </w:r>
      <w:r w:rsidR="00637387">
        <w:t>w ramach weryfikacji oceny ryzyka (</w:t>
      </w:r>
      <w:r w:rsidR="00173396">
        <w:t>np.</w:t>
      </w:r>
      <w:r w:rsidR="00637387">
        <w:t xml:space="preserve"> weryfikacja, czy dokumenty, dane i info</w:t>
      </w:r>
      <w:r w:rsidR="00173396">
        <w:t xml:space="preserve">rmacje o kliencie są aktualne, </w:t>
      </w:r>
      <w:r w:rsidR="00637387">
        <w:t xml:space="preserve">w uzasadnionych przypadkach </w:t>
      </w:r>
      <w:r w:rsidR="00173396">
        <w:t xml:space="preserve">konieczność </w:t>
      </w:r>
      <w:r w:rsidR="00637387">
        <w:t>pozyskani</w:t>
      </w:r>
      <w:r w:rsidR="00173396">
        <w:t>a</w:t>
      </w:r>
      <w:r w:rsidR="00637387">
        <w:t xml:space="preserve"> dokumentów od klienta, weryfikacja transakcji </w:t>
      </w:r>
      <w:r w:rsidR="00C5391E">
        <w:t xml:space="preserve">płatniczych </w:t>
      </w:r>
      <w:r w:rsidR="00637387">
        <w:t xml:space="preserve">realizowanych przez </w:t>
      </w:r>
      <w:r w:rsidR="006079B1">
        <w:t>klienta</w:t>
      </w:r>
      <w:r w:rsidR="00637387">
        <w:t xml:space="preserve"> od momentu poprzedniej oceny </w:t>
      </w:r>
      <w:r w:rsidR="00637387">
        <w:lastRenderedPageBreak/>
        <w:t xml:space="preserve">ryzyka). Wyniki dokonanej analizy oceny ryzyka powinny </w:t>
      </w:r>
      <w:r>
        <w:t xml:space="preserve">stanowić </w:t>
      </w:r>
      <w:r w:rsidR="00637387">
        <w:t>uzasadni</w:t>
      </w:r>
      <w:r>
        <w:t xml:space="preserve">enie </w:t>
      </w:r>
      <w:r w:rsidR="00C33D35">
        <w:t>dla</w:t>
      </w:r>
      <w:r w:rsidR="00637387">
        <w:t xml:space="preserve"> nadanej </w:t>
      </w:r>
      <w:r w:rsidR="00C33D35">
        <w:t xml:space="preserve">klientowi </w:t>
      </w:r>
      <w:r w:rsidR="00637387">
        <w:t xml:space="preserve">oceny ryzyka. Wszystkie podejmowane przez </w:t>
      </w:r>
      <w:r w:rsidR="00FC003B">
        <w:t>KIP</w:t>
      </w:r>
      <w:r w:rsidR="007936BA">
        <w:t xml:space="preserve"> </w:t>
      </w:r>
      <w:r w:rsidR="00637387">
        <w:t xml:space="preserve">działania </w:t>
      </w:r>
      <w:r w:rsidR="00487520">
        <w:t xml:space="preserve">w tym zakresie </w:t>
      </w:r>
      <w:r w:rsidR="00637387">
        <w:t xml:space="preserve">powinny być odpowiednio </w:t>
      </w:r>
      <w:r w:rsidR="00173396">
        <w:t>u</w:t>
      </w:r>
      <w:r w:rsidR="00637387">
        <w:t xml:space="preserve">dokumentowane. </w:t>
      </w:r>
      <w:r w:rsidR="00487520">
        <w:t>D</w:t>
      </w:r>
      <w:r w:rsidR="00291427">
        <w:t>okumentowan</w:t>
      </w:r>
      <w:r w:rsidR="00487520">
        <w:t>i</w:t>
      </w:r>
      <w:r w:rsidR="00291427">
        <w:t xml:space="preserve">e </w:t>
      </w:r>
      <w:r w:rsidR="00487520">
        <w:t xml:space="preserve">powinno być dokonywane </w:t>
      </w:r>
      <w:r w:rsidR="00291427">
        <w:t xml:space="preserve">w sposób zapewniający </w:t>
      </w:r>
      <w:r w:rsidR="003B7773">
        <w:t xml:space="preserve">zweryfikowanie </w:t>
      </w:r>
      <w:r w:rsidR="00291427">
        <w:t>informacji i dokumentów będących podstawą oceny ryzyka oraz historii zmian oceny ryzyka.</w:t>
      </w:r>
    </w:p>
    <w:p w14:paraId="6F72B0E4" w14:textId="77777777" w:rsidR="00B819B0" w:rsidRPr="00CE41C6" w:rsidRDefault="00B819B0" w:rsidP="006E5D99">
      <w:pPr>
        <w:pStyle w:val="Akapitzlist"/>
        <w:numPr>
          <w:ilvl w:val="0"/>
          <w:numId w:val="4"/>
        </w:numPr>
        <w:spacing w:before="120"/>
        <w:ind w:left="360"/>
        <w:rPr>
          <w:b/>
        </w:rPr>
      </w:pPr>
      <w:r w:rsidRPr="00CE41C6">
        <w:rPr>
          <w:b/>
        </w:rPr>
        <w:t xml:space="preserve">środków stosowanych w celu właściwego zarządzania rozpoznanym ryzykiem </w:t>
      </w:r>
      <w:r w:rsidR="000333D4">
        <w:rPr>
          <w:b/>
        </w:rPr>
        <w:t>ML/FT</w:t>
      </w:r>
      <w:r w:rsidRPr="00CE41C6">
        <w:rPr>
          <w:b/>
        </w:rPr>
        <w:t xml:space="preserve"> związanym z danymi stosunkami gospodarczymi lub transakcją okazjonalną;</w:t>
      </w:r>
    </w:p>
    <w:p w14:paraId="1DF90454" w14:textId="229DDAE7" w:rsidR="00CD4BA5" w:rsidRDefault="001312CA" w:rsidP="00CD4BA5">
      <w:pPr>
        <w:pStyle w:val="Akapitzlist"/>
        <w:ind w:left="360"/>
      </w:pPr>
      <w:r>
        <w:t xml:space="preserve">Zgodnie z art. 33 ust. 4 </w:t>
      </w:r>
      <w:r w:rsidR="00732D70">
        <w:t>u</w:t>
      </w:r>
      <w:r>
        <w:t>stawy</w:t>
      </w:r>
      <w:r w:rsidR="00732D70">
        <w:t xml:space="preserve"> AML</w:t>
      </w:r>
      <w:r w:rsidR="000333D4">
        <w:t>,</w:t>
      </w:r>
      <w:r>
        <w:t xml:space="preserve"> IO stosują środki bezpieczeństwa finansowego w zakresie i</w:t>
      </w:r>
      <w:r w:rsidR="000333D4">
        <w:t> </w:t>
      </w:r>
      <w:r>
        <w:t>z</w:t>
      </w:r>
      <w:r w:rsidR="000333D4">
        <w:t> </w:t>
      </w:r>
      <w:r>
        <w:t xml:space="preserve">intensywnością uwzględniającą rozpoznane ryzyko </w:t>
      </w:r>
      <w:r w:rsidR="000333D4">
        <w:t>ML/FT</w:t>
      </w:r>
      <w:r>
        <w:t xml:space="preserve"> związane ze stosunkami gospodarczymi lub transakcją okazjonalną oraz ich ocenę.</w:t>
      </w:r>
      <w:r w:rsidR="004F2BC8">
        <w:t xml:space="preserve"> </w:t>
      </w:r>
    </w:p>
    <w:p w14:paraId="7527DAC3" w14:textId="54661829" w:rsidR="00F40C13" w:rsidRPr="00E7232D" w:rsidRDefault="00F40C13" w:rsidP="00CD4BA5">
      <w:pPr>
        <w:pStyle w:val="Akapitzlist"/>
        <w:ind w:left="360"/>
      </w:pPr>
      <w:r>
        <w:t xml:space="preserve">Ustawa </w:t>
      </w:r>
      <w:r w:rsidR="00732D70">
        <w:t xml:space="preserve">AML </w:t>
      </w:r>
      <w:r>
        <w:t xml:space="preserve">określa </w:t>
      </w:r>
      <w:r w:rsidRPr="006B4B45">
        <w:rPr>
          <w:b/>
        </w:rPr>
        <w:t>podstawowy</w:t>
      </w:r>
      <w:r>
        <w:t xml:space="preserve"> </w:t>
      </w:r>
      <w:r w:rsidRPr="006B4B45">
        <w:rPr>
          <w:b/>
        </w:rPr>
        <w:t>katalog</w:t>
      </w:r>
      <w:r>
        <w:t xml:space="preserve"> </w:t>
      </w:r>
      <w:r w:rsidRPr="006B4B45">
        <w:rPr>
          <w:b/>
        </w:rPr>
        <w:t>środków</w:t>
      </w:r>
      <w:r>
        <w:t xml:space="preserve"> </w:t>
      </w:r>
      <w:r w:rsidRPr="006B4B45">
        <w:rPr>
          <w:b/>
        </w:rPr>
        <w:t>bezpieczeństwa</w:t>
      </w:r>
      <w:r>
        <w:t xml:space="preserve"> </w:t>
      </w:r>
      <w:r w:rsidRPr="006B4B45">
        <w:rPr>
          <w:b/>
        </w:rPr>
        <w:t>finansowego</w:t>
      </w:r>
      <w:r>
        <w:t xml:space="preserve">, które </w:t>
      </w:r>
      <w:r w:rsidR="00FC003B">
        <w:t>KIP</w:t>
      </w:r>
      <w:r w:rsidR="007936BA">
        <w:t xml:space="preserve"> </w:t>
      </w:r>
      <w:r>
        <w:t xml:space="preserve">musi </w:t>
      </w:r>
      <w:r w:rsidR="00665B1F">
        <w:t xml:space="preserve">zawsze </w:t>
      </w:r>
      <w:r>
        <w:t xml:space="preserve">stosować względem </w:t>
      </w:r>
      <w:r w:rsidR="006079B1">
        <w:t>klientów</w:t>
      </w:r>
      <w:r w:rsidR="00091BAC">
        <w:t xml:space="preserve"> (poza przypadkami określonymi w art. 38</w:t>
      </w:r>
      <w:r w:rsidR="000333D4">
        <w:t xml:space="preserve"> </w:t>
      </w:r>
      <w:r w:rsidR="004703D1">
        <w:t>u</w:t>
      </w:r>
      <w:r w:rsidR="000333D4">
        <w:t>stawy</w:t>
      </w:r>
      <w:r w:rsidR="004703D1">
        <w:t xml:space="preserve"> AML</w:t>
      </w:r>
      <w:r w:rsidR="00091BAC">
        <w:t>)</w:t>
      </w:r>
      <w:r w:rsidR="000333D4">
        <w:t>.</w:t>
      </w:r>
      <w:r>
        <w:t xml:space="preserve"> </w:t>
      </w:r>
      <w:r w:rsidR="00732D70">
        <w:t>Ustawa AML p</w:t>
      </w:r>
      <w:r>
        <w:t xml:space="preserve">rzewiduje stosowanie </w:t>
      </w:r>
      <w:r w:rsidRPr="006B4B45">
        <w:rPr>
          <w:b/>
        </w:rPr>
        <w:t>uproszczonych</w:t>
      </w:r>
      <w:r>
        <w:t xml:space="preserve"> lub </w:t>
      </w:r>
      <w:r w:rsidRPr="006B4B45">
        <w:rPr>
          <w:b/>
        </w:rPr>
        <w:t>wzmożonych</w:t>
      </w:r>
      <w:r>
        <w:t xml:space="preserve"> </w:t>
      </w:r>
      <w:r w:rsidRPr="003B7773">
        <w:t xml:space="preserve">środków </w:t>
      </w:r>
      <w:r w:rsidRPr="008E7697">
        <w:t>bezpieczeństwa</w:t>
      </w:r>
      <w:r w:rsidRPr="00C36A42">
        <w:t xml:space="preserve"> finansowego </w:t>
      </w:r>
      <w:r>
        <w:t xml:space="preserve">w zależności od </w:t>
      </w:r>
      <w:r w:rsidR="000333D4">
        <w:t xml:space="preserve">wyniku </w:t>
      </w:r>
      <w:r>
        <w:t xml:space="preserve">przeprowadzonej oceny ryzyka. </w:t>
      </w:r>
      <w:r w:rsidR="004174CD">
        <w:br/>
      </w:r>
      <w:r w:rsidR="00665B1F">
        <w:t>W związku z tym istnieje możliwość zmiany intensywności i zakresu stosowania środków bezpieczeństwa finansowego. W przypadku relacj</w:t>
      </w:r>
      <w:r w:rsidR="004174CD">
        <w:t xml:space="preserve">i obarczonych </w:t>
      </w:r>
      <w:r w:rsidR="004174CD" w:rsidRPr="006B4B45">
        <w:rPr>
          <w:b/>
        </w:rPr>
        <w:t>niższym</w:t>
      </w:r>
      <w:r w:rsidR="004174CD">
        <w:t xml:space="preserve"> </w:t>
      </w:r>
      <w:r w:rsidR="004174CD" w:rsidRPr="006B4B45">
        <w:rPr>
          <w:b/>
        </w:rPr>
        <w:t>ryzykiem</w:t>
      </w:r>
      <w:r w:rsidR="00487520">
        <w:t>,</w:t>
      </w:r>
      <w:r w:rsidR="004174CD">
        <w:t xml:space="preserve"> </w:t>
      </w:r>
      <w:r w:rsidR="00FC003B">
        <w:t>KIP</w:t>
      </w:r>
      <w:r w:rsidR="007936BA">
        <w:t xml:space="preserve"> </w:t>
      </w:r>
      <w:r w:rsidR="004174CD">
        <w:t>może sto</w:t>
      </w:r>
      <w:r w:rsidR="00091BAC">
        <w:t>sowa</w:t>
      </w:r>
      <w:r w:rsidR="004174CD">
        <w:t>ć</w:t>
      </w:r>
      <w:r w:rsidR="00091BAC">
        <w:t xml:space="preserve"> niektór</w:t>
      </w:r>
      <w:r w:rsidR="004174CD">
        <w:t>e</w:t>
      </w:r>
      <w:r w:rsidR="00091BAC">
        <w:t xml:space="preserve"> środk</w:t>
      </w:r>
      <w:r w:rsidR="004174CD">
        <w:t>i bezpieczeństwa finansowego z mniejszą częstotliwością</w:t>
      </w:r>
      <w:r w:rsidR="00091BAC">
        <w:t xml:space="preserve"> (np. </w:t>
      </w:r>
      <w:r w:rsidR="00836F42">
        <w:t>ograniczenie bieżącego monitorowania stosunków gospodarczych</w:t>
      </w:r>
      <w:r w:rsidR="00091BAC">
        <w:t>)</w:t>
      </w:r>
      <w:r w:rsidR="00836F42">
        <w:t xml:space="preserve">. </w:t>
      </w:r>
      <w:r w:rsidR="008C553E">
        <w:t xml:space="preserve">Warunkiem stosowania uproszczonych środków bezpieczeństwa finansowego jest potwierdzenie niższego ryzyka w toku oceny ryzyka klienta. </w:t>
      </w:r>
      <w:r w:rsidR="00836F42">
        <w:t xml:space="preserve">W przypadku </w:t>
      </w:r>
      <w:r w:rsidR="00836F42" w:rsidRPr="006B4B45">
        <w:rPr>
          <w:b/>
        </w:rPr>
        <w:t>ryzyka</w:t>
      </w:r>
      <w:r w:rsidR="00836F42">
        <w:t xml:space="preserve"> </w:t>
      </w:r>
      <w:r w:rsidR="00836F42" w:rsidRPr="006B4B45">
        <w:rPr>
          <w:b/>
        </w:rPr>
        <w:t>normalnego</w:t>
      </w:r>
      <w:r w:rsidR="00836F42">
        <w:t xml:space="preserve"> muszą zostać zastosowane wszystkie środki bezpiec</w:t>
      </w:r>
      <w:r w:rsidR="00C05483">
        <w:t>zeństwa finansowego</w:t>
      </w:r>
      <w:r w:rsidR="005C0E15">
        <w:t xml:space="preserve">, których minimalny katalog określa art. </w:t>
      </w:r>
      <w:r w:rsidR="009A4A8D">
        <w:t>34</w:t>
      </w:r>
      <w:r w:rsidR="005C0E15">
        <w:t xml:space="preserve"> ust.</w:t>
      </w:r>
      <w:r w:rsidR="003B7773">
        <w:t xml:space="preserve"> </w:t>
      </w:r>
      <w:r w:rsidR="005C0E15">
        <w:t>1 ustawy AML,</w:t>
      </w:r>
      <w:r w:rsidR="00C05483">
        <w:t xml:space="preserve"> z większą intensywnością niż w przypadku ryzyka niskiego. W</w:t>
      </w:r>
      <w:r w:rsidR="00091BAC">
        <w:t xml:space="preserve"> </w:t>
      </w:r>
      <w:r w:rsidR="00C05483">
        <w:t xml:space="preserve">odniesieniu do </w:t>
      </w:r>
      <w:r w:rsidR="00C05483" w:rsidRPr="006B4B45">
        <w:rPr>
          <w:b/>
        </w:rPr>
        <w:t>ryzyka</w:t>
      </w:r>
      <w:r w:rsidR="00C05483">
        <w:t xml:space="preserve"> </w:t>
      </w:r>
      <w:r w:rsidR="00C05483" w:rsidRPr="006B4B45">
        <w:rPr>
          <w:b/>
        </w:rPr>
        <w:t>wysokiego</w:t>
      </w:r>
      <w:r w:rsidR="00487520">
        <w:rPr>
          <w:b/>
        </w:rPr>
        <w:t>,</w:t>
      </w:r>
      <w:r w:rsidR="00C05483">
        <w:t xml:space="preserve"> </w:t>
      </w:r>
      <w:r w:rsidR="005C0E15">
        <w:t xml:space="preserve">ustawa AML nakazuje stosowanie </w:t>
      </w:r>
      <w:r w:rsidR="005C0E15" w:rsidRPr="006B4B45">
        <w:rPr>
          <w:b/>
        </w:rPr>
        <w:t>wzmożonych</w:t>
      </w:r>
      <w:r w:rsidR="005C0E15">
        <w:t xml:space="preserve"> środków bezpieczeństwa finansowego</w:t>
      </w:r>
      <w:r w:rsidR="00091BAC">
        <w:t>.</w:t>
      </w:r>
      <w:r w:rsidR="00665B1F">
        <w:t xml:space="preserve"> </w:t>
      </w:r>
      <w:r w:rsidR="005C0E15">
        <w:t>Natomiast w przypadkach określonych w art. 44 -</w:t>
      </w:r>
      <w:r w:rsidR="003E6899">
        <w:t xml:space="preserve"> </w:t>
      </w:r>
      <w:r w:rsidR="005C0E15">
        <w:t>46 ustawy AML, ustawodawca wprost wskazał</w:t>
      </w:r>
      <w:r w:rsidR="00487520">
        <w:t>,</w:t>
      </w:r>
      <w:r w:rsidR="005C0E15">
        <w:t xml:space="preserve"> jakie czynności powinny zostać podjęte </w:t>
      </w:r>
      <w:r w:rsidR="00AD473E">
        <w:t>przez</w:t>
      </w:r>
      <w:r w:rsidR="007936BA" w:rsidRPr="007936BA">
        <w:t xml:space="preserve"> </w:t>
      </w:r>
      <w:r w:rsidR="00FC003B">
        <w:t>KIP</w:t>
      </w:r>
      <w:r w:rsidR="00AD473E">
        <w:t xml:space="preserve"> </w:t>
      </w:r>
      <w:r w:rsidR="005C0E15">
        <w:t>w ramach stoso</w:t>
      </w:r>
      <w:r w:rsidR="00AD473E">
        <w:t xml:space="preserve">wania wzmożonych środków bezpieczeństwa finansowego. </w:t>
      </w:r>
      <w:r w:rsidR="00E7232D">
        <w:t xml:space="preserve">Należy podkreślić, że </w:t>
      </w:r>
      <w:r w:rsidR="00FC003B">
        <w:t>KIP</w:t>
      </w:r>
      <w:r w:rsidR="007936BA" w:rsidRPr="007936BA">
        <w:t xml:space="preserve"> </w:t>
      </w:r>
      <w:r w:rsidR="00E7232D">
        <w:t xml:space="preserve">powinna kierować się zasadą </w:t>
      </w:r>
      <w:r w:rsidR="00E7232D" w:rsidRPr="00E7232D">
        <w:rPr>
          <w:i/>
        </w:rPr>
        <w:t>risk based approach</w:t>
      </w:r>
      <w:r w:rsidR="00E7232D">
        <w:rPr>
          <w:i/>
        </w:rPr>
        <w:t xml:space="preserve"> </w:t>
      </w:r>
      <w:r w:rsidR="00E7232D">
        <w:t xml:space="preserve">(podejście oparte na indywidualnie rozumianym ryzyku) przy podejmowaniu działań wobec </w:t>
      </w:r>
      <w:r w:rsidR="006079B1">
        <w:t>klienta</w:t>
      </w:r>
      <w:r w:rsidR="00E7232D">
        <w:t xml:space="preserve">. </w:t>
      </w:r>
    </w:p>
    <w:p w14:paraId="15005949" w14:textId="6BB9BB01" w:rsidR="00C05483" w:rsidRDefault="00AD473E" w:rsidP="00CD4BA5">
      <w:pPr>
        <w:pStyle w:val="Akapitzlist"/>
        <w:ind w:left="360"/>
      </w:pPr>
      <w:r>
        <w:t xml:space="preserve">KNF oczekuje, że </w:t>
      </w:r>
      <w:r w:rsidR="00C05483" w:rsidRPr="00732D70">
        <w:rPr>
          <w:i/>
        </w:rPr>
        <w:t>Procedura</w:t>
      </w:r>
      <w:r w:rsidR="00C05483">
        <w:t xml:space="preserve"> </w:t>
      </w:r>
      <w:r>
        <w:t>będzie</w:t>
      </w:r>
      <w:r w:rsidR="00C05483">
        <w:t xml:space="preserve"> jednoznacznie wskazywać, jak poziom ryzyka różnicuje stosowanie środków bezpieczeństwa finansowego</w:t>
      </w:r>
      <w:r w:rsidR="009A4A8D">
        <w:t xml:space="preserve"> oraz</w:t>
      </w:r>
      <w:r w:rsidR="00C05483">
        <w:t xml:space="preserve"> które z nich i z jaką intensywnością stosowane są względem klientów zaklasyfikowanych do poszczególnych </w:t>
      </w:r>
      <w:r w:rsidR="00DF128A">
        <w:t xml:space="preserve">kategorii </w:t>
      </w:r>
      <w:r w:rsidR="00C05483">
        <w:t>ryzyka.</w:t>
      </w:r>
    </w:p>
    <w:p w14:paraId="496E1578" w14:textId="3D9F96C4" w:rsidR="00C919F3" w:rsidRDefault="001312CA" w:rsidP="00A6624C">
      <w:pPr>
        <w:pStyle w:val="Akapitzlist"/>
        <w:spacing w:after="120"/>
        <w:ind w:left="360"/>
      </w:pPr>
      <w:r>
        <w:t xml:space="preserve">W </w:t>
      </w:r>
      <w:r w:rsidRPr="00732D70">
        <w:rPr>
          <w:i/>
        </w:rPr>
        <w:t xml:space="preserve">Procedurze </w:t>
      </w:r>
      <w:r>
        <w:t xml:space="preserve">powinien zostać </w:t>
      </w:r>
      <w:r w:rsidR="006C43A9">
        <w:t>określony</w:t>
      </w:r>
      <w:r w:rsidRPr="00C05483">
        <w:t xml:space="preserve"> </w:t>
      </w:r>
      <w:r w:rsidR="00DB7065" w:rsidRPr="00C05483">
        <w:t>katalog sytuacji</w:t>
      </w:r>
      <w:r w:rsidR="000333D4" w:rsidRPr="00C05483">
        <w:t xml:space="preserve"> – najlepiej poprzez wskazanie </w:t>
      </w:r>
      <w:r w:rsidR="00A6624C">
        <w:t>konkretnych</w:t>
      </w:r>
      <w:r w:rsidR="000333D4" w:rsidRPr="00C05483">
        <w:t xml:space="preserve"> przypadków</w:t>
      </w:r>
      <w:r w:rsidR="00116A68">
        <w:t xml:space="preserve"> </w:t>
      </w:r>
      <w:r w:rsidR="003B7773">
        <w:t>–</w:t>
      </w:r>
      <w:r w:rsidR="000333D4" w:rsidRPr="00C05483">
        <w:t xml:space="preserve"> </w:t>
      </w:r>
      <w:r w:rsidR="00A6624C">
        <w:t xml:space="preserve">w odniesieniu do </w:t>
      </w:r>
      <w:r w:rsidR="00C919F3">
        <w:t xml:space="preserve">których będą miały zastosowanie </w:t>
      </w:r>
      <w:r w:rsidR="00DB7065">
        <w:t>uproszczon</w:t>
      </w:r>
      <w:r w:rsidR="00091BAC">
        <w:t>e</w:t>
      </w:r>
      <w:r w:rsidR="00DB7065">
        <w:t xml:space="preserve"> </w:t>
      </w:r>
      <w:r w:rsidR="00442225">
        <w:t>lub</w:t>
      </w:r>
      <w:r w:rsidR="00DB7065">
        <w:t xml:space="preserve"> wzmożon</w:t>
      </w:r>
      <w:r w:rsidR="00C919F3">
        <w:t>e</w:t>
      </w:r>
      <w:r w:rsidR="00DB7065">
        <w:t xml:space="preserve"> środk</w:t>
      </w:r>
      <w:r w:rsidR="00C919F3">
        <w:t>i</w:t>
      </w:r>
      <w:r w:rsidR="00DB7065">
        <w:t xml:space="preserve"> bezpieczeństwa finansowego</w:t>
      </w:r>
      <w:r w:rsidR="00732D70">
        <w:t>.</w:t>
      </w:r>
      <w:r w:rsidR="000333D4">
        <w:t xml:space="preserve"> </w:t>
      </w:r>
    </w:p>
    <w:p w14:paraId="1F3A6F2B" w14:textId="3D402507" w:rsidR="0017263F" w:rsidRDefault="00270124" w:rsidP="00A6624C">
      <w:pPr>
        <w:pStyle w:val="Akapitzlist"/>
        <w:spacing w:after="120"/>
        <w:ind w:left="360"/>
      </w:pPr>
      <w:r>
        <w:t>KNF oczekuje, że d</w:t>
      </w:r>
      <w:r w:rsidR="0017263F">
        <w:t>la poszczególnych kategorii środków bezpieczeństwa finansowego powinien być wskazany katalog działań</w:t>
      </w:r>
      <w:r w:rsidR="00F40C13">
        <w:t xml:space="preserve"> w praktyce</w:t>
      </w:r>
      <w:r w:rsidR="0017263F">
        <w:t xml:space="preserve"> podejmowanych przez</w:t>
      </w:r>
      <w:r w:rsidR="004338EB" w:rsidRPr="004338EB">
        <w:t xml:space="preserve"> </w:t>
      </w:r>
      <w:r w:rsidR="00FC003B">
        <w:t>KIP</w:t>
      </w:r>
      <w:r w:rsidR="0017263F">
        <w:t xml:space="preserve"> w celu mitygacji danego ryzyka. </w:t>
      </w:r>
    </w:p>
    <w:p w14:paraId="60D94519" w14:textId="625A4B7C" w:rsidR="000872E3" w:rsidRDefault="000872E3" w:rsidP="00A6624C">
      <w:pPr>
        <w:pStyle w:val="Akapitzlist"/>
        <w:spacing w:after="120"/>
        <w:ind w:left="360"/>
      </w:pPr>
    </w:p>
    <w:p w14:paraId="3D0EACB0" w14:textId="4AFCE9A3" w:rsidR="000872E3" w:rsidRDefault="000872E3" w:rsidP="00A6624C">
      <w:pPr>
        <w:pStyle w:val="Akapitzlist"/>
        <w:spacing w:after="120"/>
        <w:ind w:left="360"/>
      </w:pPr>
    </w:p>
    <w:p w14:paraId="639BF964" w14:textId="77777777" w:rsidR="000872E3" w:rsidRDefault="000872E3" w:rsidP="00A6624C">
      <w:pPr>
        <w:pStyle w:val="Akapitzlist"/>
        <w:spacing w:after="120"/>
        <w:ind w:left="360"/>
      </w:pPr>
    </w:p>
    <w:p w14:paraId="1FC77E8B" w14:textId="2D0C2EA1" w:rsidR="00091BAC" w:rsidRPr="00423C5C" w:rsidRDefault="00091BAC" w:rsidP="003C0CC4">
      <w:pPr>
        <w:ind w:left="340"/>
      </w:pPr>
      <w:r w:rsidRPr="00423C5C">
        <w:lastRenderedPageBreak/>
        <w:t xml:space="preserve">Ustawa </w:t>
      </w:r>
      <w:r w:rsidR="00DB3734">
        <w:t xml:space="preserve">AML </w:t>
      </w:r>
      <w:r w:rsidR="004D26EF">
        <w:t xml:space="preserve">nakłada </w:t>
      </w:r>
      <w:r w:rsidR="004D26EF">
        <w:rPr>
          <w:b/>
        </w:rPr>
        <w:t>bezwzględny</w:t>
      </w:r>
      <w:r w:rsidR="004D26EF">
        <w:t xml:space="preserve"> obowiązek</w:t>
      </w:r>
      <w:r w:rsidRPr="00423C5C">
        <w:t xml:space="preserve"> stosowania </w:t>
      </w:r>
      <w:r w:rsidRPr="006B4B45">
        <w:rPr>
          <w:b/>
        </w:rPr>
        <w:t>wzmożonych</w:t>
      </w:r>
      <w:r>
        <w:t xml:space="preserve"> </w:t>
      </w:r>
      <w:r w:rsidRPr="00423C5C">
        <w:t>środków bezpieczeństwa finansowego w czterech przypadkach:</w:t>
      </w:r>
    </w:p>
    <w:p w14:paraId="434E5DA2" w14:textId="4D8422E9" w:rsidR="00E43807" w:rsidRDefault="00091BAC" w:rsidP="006E5D99">
      <w:pPr>
        <w:pStyle w:val="Akapitzlist"/>
        <w:numPr>
          <w:ilvl w:val="0"/>
          <w:numId w:val="16"/>
        </w:numPr>
        <w:spacing w:after="0"/>
      </w:pPr>
      <w:r w:rsidRPr="00F23D65">
        <w:rPr>
          <w:szCs w:val="24"/>
        </w:rPr>
        <w:t xml:space="preserve">relacji z </w:t>
      </w:r>
      <w:r w:rsidR="00732D70">
        <w:rPr>
          <w:szCs w:val="24"/>
        </w:rPr>
        <w:t>osobami zajmującymi eksponowane stanowiska polityczne</w:t>
      </w:r>
      <w:r w:rsidRPr="00F23D65">
        <w:rPr>
          <w:szCs w:val="24"/>
        </w:rPr>
        <w:t>,</w:t>
      </w:r>
      <w:r w:rsidR="00E43807">
        <w:rPr>
          <w:szCs w:val="24"/>
        </w:rPr>
        <w:t xml:space="preserve"> </w:t>
      </w:r>
    </w:p>
    <w:p w14:paraId="306AE01A" w14:textId="77777777" w:rsidR="00091BAC" w:rsidRPr="00F23D65" w:rsidRDefault="00091BAC" w:rsidP="006E5D99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F23D65">
        <w:rPr>
          <w:szCs w:val="24"/>
        </w:rPr>
        <w:t>relacji korespondenckich,</w:t>
      </w:r>
    </w:p>
    <w:p w14:paraId="0F240D88" w14:textId="77777777" w:rsidR="00091BAC" w:rsidRPr="00F23D65" w:rsidRDefault="00091BAC" w:rsidP="006E5D99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F23D65">
        <w:rPr>
          <w:szCs w:val="24"/>
        </w:rPr>
        <w:t>relacji z klient</w:t>
      </w:r>
      <w:r w:rsidR="004703D1">
        <w:rPr>
          <w:szCs w:val="24"/>
        </w:rPr>
        <w:t>ami</w:t>
      </w:r>
      <w:r w:rsidRPr="00F23D65">
        <w:rPr>
          <w:szCs w:val="24"/>
        </w:rPr>
        <w:t xml:space="preserve"> </w:t>
      </w:r>
      <w:r w:rsidR="004703D1">
        <w:rPr>
          <w:szCs w:val="24"/>
        </w:rPr>
        <w:t>z</w:t>
      </w:r>
      <w:r w:rsidRPr="00F23D65">
        <w:rPr>
          <w:szCs w:val="24"/>
        </w:rPr>
        <w:t xml:space="preserve"> krajów trzecich wysokiego ryzyka</w:t>
      </w:r>
      <w:r w:rsidR="0064058D">
        <w:rPr>
          <w:rStyle w:val="Odwoanieprzypisudolnego"/>
          <w:szCs w:val="24"/>
        </w:rPr>
        <w:footnoteReference w:id="10"/>
      </w:r>
      <w:r w:rsidRPr="00F23D65">
        <w:rPr>
          <w:szCs w:val="24"/>
        </w:rPr>
        <w:t>,</w:t>
      </w:r>
    </w:p>
    <w:p w14:paraId="7527C3D7" w14:textId="4F47F499" w:rsidR="00091BAC" w:rsidRDefault="004703D1" w:rsidP="006E5D99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ujawnienia </w:t>
      </w:r>
      <w:r w:rsidR="00091BAC" w:rsidRPr="00F23D65">
        <w:rPr>
          <w:szCs w:val="24"/>
        </w:rPr>
        <w:t>transakcji nietypowych</w:t>
      </w:r>
      <w:r w:rsidR="001F4F9F">
        <w:rPr>
          <w:szCs w:val="24"/>
        </w:rPr>
        <w:t xml:space="preserve"> zgodnie z art. 43 ust.</w:t>
      </w:r>
      <w:r w:rsidR="006E5D99">
        <w:rPr>
          <w:szCs w:val="24"/>
        </w:rPr>
        <w:t xml:space="preserve"> </w:t>
      </w:r>
      <w:r w:rsidR="001F4F9F">
        <w:rPr>
          <w:szCs w:val="24"/>
        </w:rPr>
        <w:t>4 ustawy AML</w:t>
      </w:r>
      <w:r w:rsidR="00091BAC" w:rsidRPr="00F23D65">
        <w:rPr>
          <w:szCs w:val="24"/>
        </w:rPr>
        <w:t>.</w:t>
      </w:r>
    </w:p>
    <w:p w14:paraId="1190FA1B" w14:textId="6B2D21EC" w:rsidR="00A4035D" w:rsidRDefault="00B6476D" w:rsidP="00B6476D">
      <w:pPr>
        <w:ind w:left="360"/>
      </w:pPr>
      <w:r w:rsidRPr="00B6476D">
        <w:rPr>
          <w:szCs w:val="24"/>
        </w:rPr>
        <w:t>W odniesieniu do relacji z</w:t>
      </w:r>
      <w:r w:rsidR="004D26EF">
        <w:rPr>
          <w:szCs w:val="24"/>
        </w:rPr>
        <w:t xml:space="preserve"> osobami zajmującymi eksponowane stanowiska polityczne</w:t>
      </w:r>
      <w:r w:rsidRPr="00B6476D">
        <w:rPr>
          <w:szCs w:val="24"/>
        </w:rPr>
        <w:t xml:space="preserve"> </w:t>
      </w:r>
      <w:r w:rsidR="004D26EF">
        <w:rPr>
          <w:szCs w:val="24"/>
        </w:rPr>
        <w:t>(</w:t>
      </w:r>
      <w:r w:rsidRPr="00B6476D">
        <w:rPr>
          <w:szCs w:val="24"/>
        </w:rPr>
        <w:t>PEP</w:t>
      </w:r>
      <w:r w:rsidR="004D26EF">
        <w:rPr>
          <w:szCs w:val="24"/>
        </w:rPr>
        <w:t>)</w:t>
      </w:r>
      <w:r w:rsidRPr="00B6476D">
        <w:rPr>
          <w:szCs w:val="24"/>
        </w:rPr>
        <w:t xml:space="preserve"> </w:t>
      </w:r>
      <w:r w:rsidR="00270124">
        <w:rPr>
          <w:szCs w:val="24"/>
        </w:rPr>
        <w:t>u</w:t>
      </w:r>
      <w:r w:rsidRPr="00B6476D">
        <w:rPr>
          <w:szCs w:val="24"/>
        </w:rPr>
        <w:t xml:space="preserve">stawa </w:t>
      </w:r>
      <w:r w:rsidR="00DB3734">
        <w:rPr>
          <w:szCs w:val="24"/>
        </w:rPr>
        <w:t xml:space="preserve">AML </w:t>
      </w:r>
      <w:r w:rsidRPr="00B6476D">
        <w:rPr>
          <w:szCs w:val="24"/>
        </w:rPr>
        <w:t>nakłada na IO obowiązek wprowadzenia</w:t>
      </w:r>
      <w:r>
        <w:rPr>
          <w:szCs w:val="24"/>
        </w:rPr>
        <w:t xml:space="preserve"> </w:t>
      </w:r>
      <w:r>
        <w:t>procedury ustalania</w:t>
      </w:r>
      <w:r w:rsidR="00116A68">
        <w:t>,</w:t>
      </w:r>
      <w:r>
        <w:t xml:space="preserve"> czy klient lub beneficjent rzeczywisty jest </w:t>
      </w:r>
      <w:r w:rsidR="004D26EF">
        <w:t>PEP</w:t>
      </w:r>
      <w:r>
        <w:t xml:space="preserve">. Należy podkreślić, że obowiązek przedmiotowej weryfikacji leży po stronie IO. Klient jest jedynie zobowiązany do udzielenia informacji o swoim statusie PEP i może to zrobić w formie oświadczenia pod rygorem odpowiedzialności karnej za składanie fałszywych zeznań. </w:t>
      </w:r>
      <w:r w:rsidRPr="003414C1">
        <w:rPr>
          <w:i/>
        </w:rPr>
        <w:t>Procedura</w:t>
      </w:r>
      <w:r>
        <w:t xml:space="preserve"> powinna określać proces</w:t>
      </w:r>
      <w:r w:rsidR="00A4035D">
        <w:t>y</w:t>
      </w:r>
      <w:r>
        <w:t xml:space="preserve"> (w tym sposób dokumentowania poszczególnych czynności)</w:t>
      </w:r>
      <w:r w:rsidR="003B7773">
        <w:t>:</w:t>
      </w:r>
      <w:r>
        <w:t xml:space="preserve"> </w:t>
      </w:r>
    </w:p>
    <w:p w14:paraId="01D79FF9" w14:textId="6B1E9249" w:rsidR="00A4035D" w:rsidRDefault="00B6476D" w:rsidP="006E5D99">
      <w:pPr>
        <w:pStyle w:val="Akapitzlist"/>
        <w:numPr>
          <w:ilvl w:val="0"/>
          <w:numId w:val="17"/>
        </w:numPr>
        <w:spacing w:after="0"/>
        <w:ind w:left="700"/>
      </w:pPr>
      <w:r>
        <w:t>uzyskania akceptacji kadry kierowniczej wyższego szczebla na nawiązanie lub kontynuację sto</w:t>
      </w:r>
      <w:r w:rsidR="00A4035D">
        <w:t>sunków gospodarczych z klientem (np. w formie uchwały zarządu, pisem</w:t>
      </w:r>
      <w:r w:rsidR="00EC3B3E">
        <w:t>nej decyzji kadry kierowniczej),</w:t>
      </w:r>
    </w:p>
    <w:p w14:paraId="4820D5D8" w14:textId="26D67FF7" w:rsidR="00A4035D" w:rsidRDefault="00A4035D" w:rsidP="006E5D99">
      <w:pPr>
        <w:pStyle w:val="Akapitzlist"/>
        <w:numPr>
          <w:ilvl w:val="0"/>
          <w:numId w:val="17"/>
        </w:numPr>
        <w:spacing w:after="0"/>
        <w:ind w:left="700"/>
      </w:pPr>
      <w:r>
        <w:t>zastosowania odpowiednich środków celem ustalenia źródła majątku klienta i źródła pochodzenia wartości majątkowych pozostających w dyspozycji klienta w ramach stosunków gospodarczych lu</w:t>
      </w:r>
      <w:r w:rsidR="00EC3B3E">
        <w:t>b transakcji,</w:t>
      </w:r>
    </w:p>
    <w:p w14:paraId="2EB896C4" w14:textId="77777777" w:rsidR="001D712F" w:rsidRDefault="00A4035D" w:rsidP="006E5D99">
      <w:pPr>
        <w:pStyle w:val="Akapitzlist"/>
        <w:numPr>
          <w:ilvl w:val="0"/>
          <w:numId w:val="17"/>
        </w:numPr>
        <w:spacing w:after="120"/>
        <w:ind w:left="700"/>
      </w:pPr>
      <w:r>
        <w:t xml:space="preserve">bieżącego monitorowania stosunków gospodarczych z klientem. </w:t>
      </w:r>
    </w:p>
    <w:p w14:paraId="7A7C98C5" w14:textId="308568B4" w:rsidR="00B6476D" w:rsidRDefault="001D712F" w:rsidP="001D712F">
      <w:pPr>
        <w:spacing w:after="120"/>
        <w:ind w:left="340"/>
      </w:pPr>
      <w:r>
        <w:t xml:space="preserve">Powyższe działania dotyczą również członków rodziny oraz </w:t>
      </w:r>
      <w:r w:rsidR="009A4A8D">
        <w:t xml:space="preserve">osób znanych jako bliscy </w:t>
      </w:r>
      <w:r>
        <w:t xml:space="preserve"> współpracowni</w:t>
      </w:r>
      <w:r w:rsidR="009A4A8D">
        <w:t>cy</w:t>
      </w:r>
      <w:r>
        <w:t xml:space="preserve"> osoby zajmującej eksponowane stanowisko polityczne.</w:t>
      </w:r>
      <w:r w:rsidR="00B6476D">
        <w:t xml:space="preserve">  </w:t>
      </w:r>
    </w:p>
    <w:p w14:paraId="18FDA6EB" w14:textId="0D733026" w:rsidR="00091BAC" w:rsidRPr="00A6624C" w:rsidRDefault="009D39EA" w:rsidP="00E7232D">
      <w:pPr>
        <w:pStyle w:val="Akapitzlist"/>
        <w:spacing w:after="120"/>
        <w:ind w:left="360"/>
        <w:rPr>
          <w:szCs w:val="24"/>
        </w:rPr>
      </w:pPr>
      <w:r w:rsidRPr="00423C5C">
        <w:rPr>
          <w:szCs w:val="24"/>
        </w:rPr>
        <w:t xml:space="preserve">Ustawa </w:t>
      </w:r>
      <w:r w:rsidR="003414C1">
        <w:rPr>
          <w:szCs w:val="24"/>
        </w:rPr>
        <w:t xml:space="preserve">AML </w:t>
      </w:r>
      <w:r w:rsidRPr="006B4B45">
        <w:rPr>
          <w:b/>
          <w:szCs w:val="24"/>
        </w:rPr>
        <w:t>nie</w:t>
      </w:r>
      <w:r w:rsidRPr="00423C5C">
        <w:rPr>
          <w:szCs w:val="24"/>
        </w:rPr>
        <w:t xml:space="preserve"> </w:t>
      </w:r>
      <w:r w:rsidRPr="006B4B45">
        <w:rPr>
          <w:b/>
          <w:szCs w:val="24"/>
        </w:rPr>
        <w:t>przewiduje</w:t>
      </w:r>
      <w:r w:rsidRPr="00423C5C">
        <w:rPr>
          <w:szCs w:val="24"/>
        </w:rPr>
        <w:t xml:space="preserve"> </w:t>
      </w:r>
      <w:r w:rsidRPr="006B4B45">
        <w:rPr>
          <w:b/>
          <w:szCs w:val="24"/>
        </w:rPr>
        <w:t>katalogu</w:t>
      </w:r>
      <w:r w:rsidRPr="00423C5C">
        <w:rPr>
          <w:szCs w:val="24"/>
        </w:rPr>
        <w:t xml:space="preserve"> wzmożonych środków</w:t>
      </w:r>
      <w:r w:rsidR="004703D1">
        <w:rPr>
          <w:szCs w:val="24"/>
        </w:rPr>
        <w:t xml:space="preserve"> bezpieczeństwa finansowego</w:t>
      </w:r>
      <w:r w:rsidRPr="00423C5C">
        <w:rPr>
          <w:szCs w:val="24"/>
        </w:rPr>
        <w:t>, a</w:t>
      </w:r>
      <w:r w:rsidR="004703D1">
        <w:rPr>
          <w:szCs w:val="24"/>
        </w:rPr>
        <w:t> </w:t>
      </w:r>
      <w:r w:rsidRPr="00423C5C">
        <w:rPr>
          <w:szCs w:val="24"/>
        </w:rPr>
        <w:t>zatem</w:t>
      </w:r>
      <w:r w:rsidR="00D04BA1">
        <w:rPr>
          <w:szCs w:val="24"/>
        </w:rPr>
        <w:t xml:space="preserve"> ustawodawca pozostawił</w:t>
      </w:r>
      <w:r w:rsidRPr="00423C5C">
        <w:rPr>
          <w:szCs w:val="24"/>
        </w:rPr>
        <w:t xml:space="preserve"> ich wybór </w:t>
      </w:r>
      <w:r w:rsidR="00D04BA1">
        <w:rPr>
          <w:szCs w:val="24"/>
        </w:rPr>
        <w:t>IO</w:t>
      </w:r>
      <w:r w:rsidR="003B7773">
        <w:rPr>
          <w:szCs w:val="24"/>
        </w:rPr>
        <w:t>. N</w:t>
      </w:r>
      <w:r w:rsidR="00D04BA1">
        <w:rPr>
          <w:szCs w:val="24"/>
        </w:rPr>
        <w:t xml:space="preserve">ależy </w:t>
      </w:r>
      <w:r w:rsidR="00085D7D">
        <w:rPr>
          <w:szCs w:val="24"/>
        </w:rPr>
        <w:t xml:space="preserve">jednak </w:t>
      </w:r>
      <w:r w:rsidR="00D04BA1">
        <w:rPr>
          <w:szCs w:val="24"/>
        </w:rPr>
        <w:t xml:space="preserve">mieć na względzie, że </w:t>
      </w:r>
      <w:r w:rsidR="007B2CF0">
        <w:rPr>
          <w:szCs w:val="24"/>
        </w:rPr>
        <w:t xml:space="preserve">ich celem jest uzyskanie dodatkowych informacji o kliencie i jego beneficjencie rzeczywistym oraz </w:t>
      </w:r>
      <w:r w:rsidR="00D253D9">
        <w:rPr>
          <w:szCs w:val="24"/>
        </w:rPr>
        <w:br/>
      </w:r>
      <w:r w:rsidR="007B2CF0">
        <w:rPr>
          <w:szCs w:val="24"/>
        </w:rPr>
        <w:t>o zamierzonym charakterze stosunków gospodarczych</w:t>
      </w:r>
      <w:r w:rsidRPr="00A6624C">
        <w:rPr>
          <w:szCs w:val="24"/>
        </w:rPr>
        <w:t>.</w:t>
      </w:r>
    </w:p>
    <w:p w14:paraId="55F947D5" w14:textId="77777777" w:rsidR="009D39EA" w:rsidRDefault="009D39EA" w:rsidP="00A6624C">
      <w:pPr>
        <w:pStyle w:val="Akapitzlist"/>
        <w:spacing w:after="0"/>
        <w:ind w:left="360"/>
        <w:rPr>
          <w:szCs w:val="24"/>
        </w:rPr>
      </w:pPr>
      <w:r w:rsidRPr="006B4B45">
        <w:rPr>
          <w:b/>
          <w:szCs w:val="24"/>
        </w:rPr>
        <w:t xml:space="preserve">Stosowanie </w:t>
      </w:r>
      <w:r>
        <w:rPr>
          <w:szCs w:val="24"/>
        </w:rPr>
        <w:t>wzmożonych środków bezpieczeństwa fina</w:t>
      </w:r>
      <w:r w:rsidR="003414C1">
        <w:rPr>
          <w:szCs w:val="24"/>
        </w:rPr>
        <w:t xml:space="preserve">nsowego między innymi </w:t>
      </w:r>
      <w:r w:rsidR="003E6899">
        <w:rPr>
          <w:szCs w:val="24"/>
        </w:rPr>
        <w:t xml:space="preserve">może polegać </w:t>
      </w:r>
      <w:r w:rsidR="003414C1">
        <w:rPr>
          <w:szCs w:val="24"/>
        </w:rPr>
        <w:t>na</w:t>
      </w:r>
      <w:r w:rsidR="004703D1">
        <w:rPr>
          <w:szCs w:val="24"/>
        </w:rPr>
        <w:t>:</w:t>
      </w:r>
    </w:p>
    <w:p w14:paraId="574594A3" w14:textId="4D5A83B2" w:rsidR="009D39EA" w:rsidRDefault="003C0CC4" w:rsidP="000872E3">
      <w:pPr>
        <w:pStyle w:val="Akapitzlist"/>
        <w:numPr>
          <w:ilvl w:val="0"/>
          <w:numId w:val="10"/>
        </w:numPr>
        <w:spacing w:after="0"/>
        <w:ind w:left="697" w:hanging="357"/>
        <w:rPr>
          <w:szCs w:val="24"/>
        </w:rPr>
      </w:pPr>
      <w:r>
        <w:rPr>
          <w:szCs w:val="24"/>
        </w:rPr>
        <w:t>u</w:t>
      </w:r>
      <w:r w:rsidR="009D39EA">
        <w:rPr>
          <w:szCs w:val="24"/>
        </w:rPr>
        <w:t>staleniu źródła majątku klienta i źródła pochodzenia wartości majątkowych pozostających w jego dyspozycji</w:t>
      </w:r>
      <w:r w:rsidR="007F0E1A">
        <w:rPr>
          <w:szCs w:val="24"/>
        </w:rPr>
        <w:t xml:space="preserve"> (np. </w:t>
      </w:r>
      <w:r w:rsidR="00BF0E25">
        <w:rPr>
          <w:szCs w:val="24"/>
        </w:rPr>
        <w:t xml:space="preserve">na podstawie </w:t>
      </w:r>
      <w:r w:rsidR="007F0E1A">
        <w:rPr>
          <w:szCs w:val="24"/>
        </w:rPr>
        <w:t>dokument</w:t>
      </w:r>
      <w:r w:rsidR="00BF0E25">
        <w:rPr>
          <w:szCs w:val="24"/>
        </w:rPr>
        <w:t>ów</w:t>
      </w:r>
      <w:r w:rsidR="007F0E1A">
        <w:rPr>
          <w:szCs w:val="24"/>
        </w:rPr>
        <w:t xml:space="preserve"> potwierdzając</w:t>
      </w:r>
      <w:r w:rsidR="00BF0E25">
        <w:rPr>
          <w:szCs w:val="24"/>
        </w:rPr>
        <w:t>ych</w:t>
      </w:r>
      <w:r w:rsidR="007F0E1A">
        <w:rPr>
          <w:szCs w:val="24"/>
        </w:rPr>
        <w:t xml:space="preserve"> źródło majątku oraz źródło pochodzenia środków</w:t>
      </w:r>
      <w:r w:rsidR="009D39EA">
        <w:rPr>
          <w:szCs w:val="24"/>
        </w:rPr>
        <w:t>,</w:t>
      </w:r>
      <w:r w:rsidR="00BF0E25">
        <w:rPr>
          <w:szCs w:val="24"/>
        </w:rPr>
        <w:t xml:space="preserve"> faktur</w:t>
      </w:r>
      <w:r w:rsidR="003414C1">
        <w:rPr>
          <w:szCs w:val="24"/>
        </w:rPr>
        <w:t>, dokument</w:t>
      </w:r>
      <w:r w:rsidR="00BF0E25">
        <w:rPr>
          <w:szCs w:val="24"/>
        </w:rPr>
        <w:t>ów</w:t>
      </w:r>
      <w:r w:rsidR="003414C1">
        <w:rPr>
          <w:szCs w:val="24"/>
        </w:rPr>
        <w:t xml:space="preserve"> podatkow</w:t>
      </w:r>
      <w:r w:rsidR="00BF0E25">
        <w:rPr>
          <w:szCs w:val="24"/>
        </w:rPr>
        <w:t>ych),</w:t>
      </w:r>
    </w:p>
    <w:p w14:paraId="23641E63" w14:textId="4ACD84AF" w:rsidR="009D39EA" w:rsidRDefault="007B268B" w:rsidP="000872E3">
      <w:pPr>
        <w:pStyle w:val="Akapitzlist"/>
        <w:numPr>
          <w:ilvl w:val="0"/>
          <w:numId w:val="10"/>
        </w:numPr>
        <w:spacing w:after="0"/>
        <w:ind w:left="697" w:hanging="357"/>
        <w:rPr>
          <w:szCs w:val="24"/>
        </w:rPr>
      </w:pPr>
      <w:r>
        <w:rPr>
          <w:szCs w:val="24"/>
        </w:rPr>
        <w:t>i</w:t>
      </w:r>
      <w:r w:rsidR="00832A77">
        <w:rPr>
          <w:szCs w:val="24"/>
        </w:rPr>
        <w:t xml:space="preserve">ntensyfikacji stosowania środka bezpieczeństwa </w:t>
      </w:r>
      <w:r w:rsidR="003414C1">
        <w:rPr>
          <w:szCs w:val="24"/>
        </w:rPr>
        <w:t>finansowego polegającego m.in. na wzmożonym monitoring</w:t>
      </w:r>
      <w:r w:rsidR="004703D1">
        <w:rPr>
          <w:szCs w:val="24"/>
        </w:rPr>
        <w:t>u</w:t>
      </w:r>
      <w:r w:rsidR="00832A77">
        <w:rPr>
          <w:szCs w:val="24"/>
        </w:rPr>
        <w:t xml:space="preserve"> </w:t>
      </w:r>
      <w:r w:rsidR="003414C1">
        <w:rPr>
          <w:szCs w:val="24"/>
        </w:rPr>
        <w:t>stosunków gospodarczych, bieżącej</w:t>
      </w:r>
      <w:r w:rsidR="00832A77">
        <w:rPr>
          <w:szCs w:val="24"/>
        </w:rPr>
        <w:t xml:space="preserve"> analiz</w:t>
      </w:r>
      <w:r w:rsidR="004703D1">
        <w:rPr>
          <w:szCs w:val="24"/>
        </w:rPr>
        <w:t>ie</w:t>
      </w:r>
      <w:r w:rsidR="00832A77">
        <w:rPr>
          <w:szCs w:val="24"/>
        </w:rPr>
        <w:t xml:space="preserve"> przeprowadzanych</w:t>
      </w:r>
      <w:r>
        <w:rPr>
          <w:szCs w:val="24"/>
        </w:rPr>
        <w:t xml:space="preserve"> przez klienta</w:t>
      </w:r>
      <w:r w:rsidR="00832A77">
        <w:rPr>
          <w:szCs w:val="24"/>
        </w:rPr>
        <w:t xml:space="preserve"> transakcji</w:t>
      </w:r>
      <w:r w:rsidR="00E86241">
        <w:rPr>
          <w:szCs w:val="24"/>
        </w:rPr>
        <w:t xml:space="preserve"> (w tym w uzasadnionych przypadkach pozyskanie dodatkowych dokumentów dotyczących realizowanych transakcji)</w:t>
      </w:r>
      <w:r w:rsidR="00BF0E25">
        <w:rPr>
          <w:szCs w:val="24"/>
        </w:rPr>
        <w:t>,</w:t>
      </w:r>
    </w:p>
    <w:p w14:paraId="52EE8864" w14:textId="1CFEF47C" w:rsidR="00832A77" w:rsidRDefault="007B268B" w:rsidP="000872E3">
      <w:pPr>
        <w:pStyle w:val="Akapitzlist"/>
        <w:numPr>
          <w:ilvl w:val="0"/>
          <w:numId w:val="10"/>
        </w:numPr>
        <w:spacing w:after="0"/>
        <w:ind w:left="697" w:hanging="357"/>
        <w:rPr>
          <w:szCs w:val="24"/>
        </w:rPr>
      </w:pPr>
      <w:r>
        <w:rPr>
          <w:szCs w:val="24"/>
        </w:rPr>
        <w:t>c</w:t>
      </w:r>
      <w:r w:rsidR="00832A77">
        <w:rPr>
          <w:szCs w:val="24"/>
        </w:rPr>
        <w:t>zęstsz</w:t>
      </w:r>
      <w:r w:rsidR="00A4762E">
        <w:rPr>
          <w:szCs w:val="24"/>
        </w:rPr>
        <w:t>ej</w:t>
      </w:r>
      <w:r w:rsidR="00832A77">
        <w:rPr>
          <w:szCs w:val="24"/>
        </w:rPr>
        <w:t xml:space="preserve"> weryfikacj</w:t>
      </w:r>
      <w:r w:rsidR="00A4762E">
        <w:rPr>
          <w:szCs w:val="24"/>
        </w:rPr>
        <w:t>i</w:t>
      </w:r>
      <w:r w:rsidR="00832A77">
        <w:rPr>
          <w:szCs w:val="24"/>
        </w:rPr>
        <w:t xml:space="preserve"> danych zawartych w dokumentacji klienta, w tym weryfikacji tożsamości beneficjenta rzeczywistego</w:t>
      </w:r>
      <w:r w:rsidR="007F0E1A">
        <w:rPr>
          <w:szCs w:val="24"/>
        </w:rPr>
        <w:t xml:space="preserve"> (np. na podstawie powszechnie dostępnych źródeł informacji)</w:t>
      </w:r>
      <w:r w:rsidR="00BF0E25">
        <w:rPr>
          <w:szCs w:val="24"/>
        </w:rPr>
        <w:t>,</w:t>
      </w:r>
    </w:p>
    <w:p w14:paraId="23F348A9" w14:textId="28EFF197" w:rsidR="002B09FF" w:rsidRDefault="007F0E1A" w:rsidP="000872E3">
      <w:pPr>
        <w:pStyle w:val="Akapitzlist"/>
        <w:numPr>
          <w:ilvl w:val="0"/>
          <w:numId w:val="10"/>
        </w:numPr>
        <w:spacing w:after="0"/>
        <w:ind w:left="697" w:hanging="357"/>
        <w:rPr>
          <w:szCs w:val="24"/>
        </w:rPr>
      </w:pPr>
      <w:r>
        <w:rPr>
          <w:szCs w:val="24"/>
        </w:rPr>
        <w:lastRenderedPageBreak/>
        <w:t>rozszerzeni</w:t>
      </w:r>
      <w:r w:rsidR="00781B6A">
        <w:rPr>
          <w:szCs w:val="24"/>
        </w:rPr>
        <w:t>u</w:t>
      </w:r>
      <w:r>
        <w:rPr>
          <w:szCs w:val="24"/>
        </w:rPr>
        <w:t xml:space="preserve"> zakresu informacji i dokumentów </w:t>
      </w:r>
      <w:r w:rsidR="007B268B">
        <w:rPr>
          <w:szCs w:val="24"/>
        </w:rPr>
        <w:t>p</w:t>
      </w:r>
      <w:r w:rsidR="00832A77">
        <w:rPr>
          <w:szCs w:val="24"/>
        </w:rPr>
        <w:t>ozyskiwan</w:t>
      </w:r>
      <w:r>
        <w:rPr>
          <w:szCs w:val="24"/>
        </w:rPr>
        <w:t>ych od klienta (</w:t>
      </w:r>
      <w:r w:rsidR="003414C1">
        <w:rPr>
          <w:szCs w:val="24"/>
        </w:rPr>
        <w:t xml:space="preserve">np. </w:t>
      </w:r>
      <w:r>
        <w:rPr>
          <w:szCs w:val="24"/>
        </w:rPr>
        <w:t>drugi dokument potwierdzający tożsamość</w:t>
      </w:r>
      <w:r w:rsidR="00EB3F93">
        <w:rPr>
          <w:szCs w:val="24"/>
        </w:rPr>
        <w:t xml:space="preserve"> klienta</w:t>
      </w:r>
      <w:r>
        <w:rPr>
          <w:szCs w:val="24"/>
        </w:rPr>
        <w:t>, aktualny wyciąg z rachunku bankowego, umowy handlowe,</w:t>
      </w:r>
      <w:r w:rsidR="00BF0E25">
        <w:rPr>
          <w:szCs w:val="24"/>
        </w:rPr>
        <w:t xml:space="preserve"> rachunek za czynsz, prąd itp.),</w:t>
      </w:r>
    </w:p>
    <w:p w14:paraId="47373730" w14:textId="090E801C" w:rsidR="00E86241" w:rsidRDefault="00E86241" w:rsidP="000872E3">
      <w:pPr>
        <w:pStyle w:val="Akapitzlist"/>
        <w:numPr>
          <w:ilvl w:val="0"/>
          <w:numId w:val="10"/>
        </w:numPr>
        <w:spacing w:after="0"/>
        <w:ind w:left="697" w:hanging="357"/>
        <w:rPr>
          <w:szCs w:val="24"/>
        </w:rPr>
      </w:pPr>
      <w:r>
        <w:rPr>
          <w:szCs w:val="24"/>
        </w:rPr>
        <w:t>uzyskaniu dodatkowej zgody na nawiązanie relacji lub kontynuację stosunków gospodarczych z klientem przez kadr</w:t>
      </w:r>
      <w:r w:rsidR="00BF0E25">
        <w:rPr>
          <w:szCs w:val="24"/>
        </w:rPr>
        <w:t>ę kierowniczą wyższego szczebla</w:t>
      </w:r>
      <w:r w:rsidR="009A4A8D">
        <w:rPr>
          <w:szCs w:val="24"/>
        </w:rPr>
        <w:t>.</w:t>
      </w:r>
    </w:p>
    <w:p w14:paraId="21ABE6D4" w14:textId="43FAEA67" w:rsidR="00832A77" w:rsidRPr="009A4A8D" w:rsidRDefault="00832A77" w:rsidP="00EB3F93">
      <w:pPr>
        <w:pStyle w:val="Akapitzlist"/>
        <w:spacing w:before="120" w:after="0"/>
        <w:ind w:left="360"/>
        <w:rPr>
          <w:szCs w:val="24"/>
        </w:rPr>
      </w:pPr>
      <w:r w:rsidRPr="009A4A8D">
        <w:rPr>
          <w:szCs w:val="24"/>
        </w:rPr>
        <w:t xml:space="preserve">Dobrą praktyką rynkową jest wdrożenie </w:t>
      </w:r>
      <w:r w:rsidR="00793E47" w:rsidRPr="009A4A8D">
        <w:rPr>
          <w:b/>
          <w:szCs w:val="24"/>
        </w:rPr>
        <w:t>programu</w:t>
      </w:r>
      <w:r w:rsidR="00793E47" w:rsidRPr="009A4A8D">
        <w:rPr>
          <w:szCs w:val="24"/>
        </w:rPr>
        <w:t xml:space="preserve"> </w:t>
      </w:r>
      <w:r w:rsidRPr="009A4A8D">
        <w:rPr>
          <w:b/>
          <w:szCs w:val="24"/>
        </w:rPr>
        <w:t>KYC</w:t>
      </w:r>
      <w:r w:rsidR="00793E47" w:rsidRPr="009A4A8D">
        <w:rPr>
          <w:szCs w:val="24"/>
        </w:rPr>
        <w:t xml:space="preserve"> – </w:t>
      </w:r>
      <w:r w:rsidRPr="009A4A8D">
        <w:rPr>
          <w:b/>
          <w:szCs w:val="24"/>
        </w:rPr>
        <w:t>„Poznaj swojego klienta”</w:t>
      </w:r>
      <w:r w:rsidR="00D04BA1" w:rsidRPr="009A4A8D">
        <w:rPr>
          <w:szCs w:val="24"/>
        </w:rPr>
        <w:t xml:space="preserve"> („KYC”)</w:t>
      </w:r>
      <w:r w:rsidR="00793E47" w:rsidRPr="009A4A8D">
        <w:rPr>
          <w:szCs w:val="24"/>
        </w:rPr>
        <w:t>,</w:t>
      </w:r>
      <w:r w:rsidR="008F1077" w:rsidRPr="009A4A8D">
        <w:rPr>
          <w:szCs w:val="24"/>
        </w:rPr>
        <w:t xml:space="preserve"> regulującego proces zbierania danych i informacji o kliencie w ramach stosowanych środków bezpieczeństwa finansowego</w:t>
      </w:r>
      <w:r w:rsidR="00D04BA1" w:rsidRPr="009A4A8D">
        <w:rPr>
          <w:szCs w:val="24"/>
        </w:rPr>
        <w:t xml:space="preserve">, </w:t>
      </w:r>
      <w:r w:rsidR="008F1077" w:rsidRPr="009A4A8D">
        <w:rPr>
          <w:szCs w:val="24"/>
        </w:rPr>
        <w:t>cel</w:t>
      </w:r>
      <w:r w:rsidR="00D04BA1" w:rsidRPr="009A4A8D">
        <w:rPr>
          <w:szCs w:val="24"/>
        </w:rPr>
        <w:t>em</w:t>
      </w:r>
      <w:r w:rsidR="008F1077" w:rsidRPr="009A4A8D">
        <w:rPr>
          <w:szCs w:val="24"/>
        </w:rPr>
        <w:t xml:space="preserve"> </w:t>
      </w:r>
      <w:r w:rsidR="00D04BA1" w:rsidRPr="009A4A8D">
        <w:rPr>
          <w:szCs w:val="24"/>
        </w:rPr>
        <w:t xml:space="preserve">identyfikacji i oceny </w:t>
      </w:r>
      <w:r w:rsidR="008F1077" w:rsidRPr="009A4A8D">
        <w:rPr>
          <w:szCs w:val="24"/>
        </w:rPr>
        <w:t>ryzyka klienta.</w:t>
      </w:r>
      <w:r w:rsidR="00E86241" w:rsidRPr="009A4A8D">
        <w:rPr>
          <w:szCs w:val="24"/>
        </w:rPr>
        <w:t xml:space="preserve"> </w:t>
      </w:r>
    </w:p>
    <w:p w14:paraId="5AC32476" w14:textId="5305DBE7" w:rsidR="00922F41" w:rsidRDefault="00922F41" w:rsidP="005B77B4">
      <w:pPr>
        <w:pStyle w:val="Akapitzlist"/>
        <w:spacing w:after="120"/>
        <w:ind w:left="360"/>
      </w:pPr>
      <w:r>
        <w:rPr>
          <w:szCs w:val="24"/>
        </w:rPr>
        <w:t>Ponadto w przypadku współpracy z innymi instytucjami finansowymi, w tym instytucjami sektora usług płatniczych</w:t>
      </w:r>
      <w:r w:rsidR="003D0EBC">
        <w:rPr>
          <w:szCs w:val="24"/>
        </w:rPr>
        <w:t>,</w:t>
      </w:r>
      <w:r>
        <w:rPr>
          <w:szCs w:val="24"/>
        </w:rPr>
        <w:t xml:space="preserve"> należy wziąć pod uwagę fakt, iż transakcje realizowane będ</w:t>
      </w:r>
      <w:r w:rsidR="00C46FAB">
        <w:rPr>
          <w:szCs w:val="24"/>
        </w:rPr>
        <w:t>ą</w:t>
      </w:r>
      <w:r>
        <w:rPr>
          <w:szCs w:val="24"/>
        </w:rPr>
        <w:t xml:space="preserve"> na rzecz </w:t>
      </w:r>
      <w:r w:rsidR="003D0EBC">
        <w:rPr>
          <w:szCs w:val="24"/>
        </w:rPr>
        <w:t>podmiotów trzecich</w:t>
      </w:r>
      <w:r>
        <w:rPr>
          <w:szCs w:val="24"/>
        </w:rPr>
        <w:t xml:space="preserve">, co może charakteryzować się wyższym ryzykiem i koniecznością zastosowania wzmożonych środków bezpieczeństwa finansowego, które powinny ograniczyć ryzyko </w:t>
      </w:r>
      <w:r w:rsidR="003D0EBC">
        <w:t>związane z praniem pieniędzy i finansowaniem terroryzmu</w:t>
      </w:r>
      <w:r w:rsidR="00085D7D">
        <w:t>.</w:t>
      </w:r>
    </w:p>
    <w:p w14:paraId="0B5AADB8" w14:textId="77777777" w:rsidR="00B819B0" w:rsidRPr="00CE41C6" w:rsidRDefault="00B819B0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 w:rsidRPr="00CE41C6">
        <w:rPr>
          <w:b/>
        </w:rPr>
        <w:t>zasad stosowania środków bezpieczeństwa finansowego;</w:t>
      </w:r>
    </w:p>
    <w:p w14:paraId="30C72012" w14:textId="0BFF481D" w:rsidR="00265FA1" w:rsidRDefault="007B2CF0" w:rsidP="00620D5B">
      <w:pPr>
        <w:pStyle w:val="Akapitzlist"/>
        <w:spacing w:before="120" w:after="0"/>
        <w:ind w:left="357"/>
      </w:pPr>
      <w:r>
        <w:t xml:space="preserve">KNF oczekuje, że </w:t>
      </w:r>
      <w:r w:rsidR="00252EED" w:rsidRPr="003414C1">
        <w:rPr>
          <w:i/>
        </w:rPr>
        <w:t>Procedura</w:t>
      </w:r>
      <w:r w:rsidR="00252EED">
        <w:t xml:space="preserve"> </w:t>
      </w:r>
      <w:r>
        <w:t>będzie</w:t>
      </w:r>
      <w:r w:rsidR="00252EED">
        <w:t xml:space="preserve"> wskazywać </w:t>
      </w:r>
      <w:r w:rsidR="00252EED" w:rsidRPr="006B4B45">
        <w:rPr>
          <w:b/>
        </w:rPr>
        <w:t>przypadki</w:t>
      </w:r>
      <w:r w:rsidR="00252EED">
        <w:t>, w których zachodzi konieczność zastosowania środków bezpieczeństwa finansowego</w:t>
      </w:r>
      <w:r>
        <w:t xml:space="preserve"> oraz </w:t>
      </w:r>
      <w:r w:rsidR="00CE41C6">
        <w:t>zawierać</w:t>
      </w:r>
      <w:r>
        <w:t xml:space="preserve"> będzie</w:t>
      </w:r>
      <w:r w:rsidR="00CE41C6">
        <w:t xml:space="preserve"> </w:t>
      </w:r>
      <w:r w:rsidR="00CE41C6" w:rsidRPr="006B4B45">
        <w:rPr>
          <w:b/>
        </w:rPr>
        <w:t>opis</w:t>
      </w:r>
      <w:r w:rsidR="00CE41C6">
        <w:t xml:space="preserve"> </w:t>
      </w:r>
      <w:r w:rsidR="00CE41C6" w:rsidRPr="006B4B45">
        <w:rPr>
          <w:b/>
        </w:rPr>
        <w:t>faktycznych</w:t>
      </w:r>
      <w:r w:rsidR="00CE41C6">
        <w:t xml:space="preserve"> </w:t>
      </w:r>
      <w:r w:rsidR="00CE41C6" w:rsidRPr="006B4B45">
        <w:rPr>
          <w:b/>
        </w:rPr>
        <w:t>czynności</w:t>
      </w:r>
      <w:r w:rsidR="00CE41C6">
        <w:t xml:space="preserve"> wykonywanych przez</w:t>
      </w:r>
      <w:r w:rsidR="004338EB" w:rsidRPr="004338EB">
        <w:t xml:space="preserve"> </w:t>
      </w:r>
      <w:r w:rsidR="00FC003B">
        <w:t>KIP</w:t>
      </w:r>
      <w:r w:rsidR="00CE41C6">
        <w:t xml:space="preserve"> w zakresie stosowania środków bezpieczeństwa finansowego określonych w art. 34 </w:t>
      </w:r>
      <w:r w:rsidR="003414C1">
        <w:t>ust. 1 u</w:t>
      </w:r>
      <w:r w:rsidR="00DE0F1B">
        <w:t>stawy</w:t>
      </w:r>
      <w:r w:rsidR="003414C1">
        <w:t xml:space="preserve"> AML, w tym</w:t>
      </w:r>
      <w:r w:rsidR="00986C4A">
        <w:t>:</w:t>
      </w:r>
    </w:p>
    <w:p w14:paraId="62261D2A" w14:textId="36EB06C7" w:rsidR="00272A4B" w:rsidRDefault="00F5144B" w:rsidP="006E5D99">
      <w:pPr>
        <w:pStyle w:val="Akapitzlist"/>
        <w:numPr>
          <w:ilvl w:val="0"/>
          <w:numId w:val="11"/>
        </w:numPr>
        <w:spacing w:after="120"/>
        <w:ind w:left="700"/>
      </w:pPr>
      <w:r w:rsidRPr="006B4B45">
        <w:rPr>
          <w:u w:val="single"/>
        </w:rPr>
        <w:t>W</w:t>
      </w:r>
      <w:r w:rsidR="00FB3599" w:rsidRPr="006B4B45">
        <w:rPr>
          <w:u w:val="single"/>
        </w:rPr>
        <w:t xml:space="preserve">ytyczne dotyczące </w:t>
      </w:r>
      <w:r w:rsidR="007E6E83" w:rsidRPr="006B4B45">
        <w:rPr>
          <w:u w:val="single"/>
        </w:rPr>
        <w:t>procesu</w:t>
      </w:r>
      <w:r w:rsidR="00FB3599" w:rsidRPr="006B4B45">
        <w:rPr>
          <w:u w:val="single"/>
        </w:rPr>
        <w:t xml:space="preserve"> identyfikacji</w:t>
      </w:r>
      <w:r w:rsidR="00F90D65" w:rsidRPr="006B4B45">
        <w:rPr>
          <w:u w:val="single"/>
        </w:rPr>
        <w:t xml:space="preserve"> klienta i</w:t>
      </w:r>
      <w:r w:rsidR="00FB3599" w:rsidRPr="006B4B45">
        <w:rPr>
          <w:u w:val="single"/>
        </w:rPr>
        <w:t xml:space="preserve"> </w:t>
      </w:r>
      <w:r w:rsidR="00F90D65" w:rsidRPr="006B4B45">
        <w:rPr>
          <w:u w:val="single"/>
        </w:rPr>
        <w:t>weryfikacji jego tożsamości</w:t>
      </w:r>
      <w:r w:rsidR="008E7697">
        <w:rPr>
          <w:u w:val="single"/>
        </w:rPr>
        <w:t>,</w:t>
      </w:r>
      <w:r w:rsidR="00F90D65" w:rsidRPr="006B4B45">
        <w:rPr>
          <w:u w:val="single"/>
        </w:rPr>
        <w:t xml:space="preserve"> </w:t>
      </w:r>
      <w:r w:rsidRPr="006B4B45">
        <w:rPr>
          <w:u w:val="single"/>
        </w:rPr>
        <w:t>stosownie do postanowień art.</w:t>
      </w:r>
      <w:r w:rsidR="00DE0F1B" w:rsidRPr="006B4B45">
        <w:rPr>
          <w:u w:val="single"/>
        </w:rPr>
        <w:t xml:space="preserve"> 37</w:t>
      </w:r>
      <w:r w:rsidR="00927414" w:rsidRPr="006B4B45">
        <w:rPr>
          <w:u w:val="single"/>
        </w:rPr>
        <w:t xml:space="preserve"> </w:t>
      </w:r>
      <w:r w:rsidR="003414C1" w:rsidRPr="006B4B45">
        <w:rPr>
          <w:u w:val="single"/>
        </w:rPr>
        <w:t>u</w:t>
      </w:r>
      <w:r w:rsidR="00927414" w:rsidRPr="006B4B45">
        <w:rPr>
          <w:u w:val="single"/>
        </w:rPr>
        <w:t>stawy</w:t>
      </w:r>
      <w:r w:rsidR="003414C1" w:rsidRPr="006B4B45">
        <w:rPr>
          <w:u w:val="single"/>
        </w:rPr>
        <w:t xml:space="preserve"> AML</w:t>
      </w:r>
      <w:r w:rsidR="00927414" w:rsidRPr="006B4B45">
        <w:rPr>
          <w:u w:val="single"/>
        </w:rPr>
        <w:t>,</w:t>
      </w:r>
      <w:r w:rsidR="00111AAC" w:rsidRPr="006B4B45">
        <w:rPr>
          <w:u w:val="single"/>
        </w:rPr>
        <w:t xml:space="preserve"> w sposób zapewniający prawdziwość i kompletność danych</w:t>
      </w:r>
      <w:r w:rsidR="007262CD">
        <w:t xml:space="preserve">. </w:t>
      </w:r>
      <w:r w:rsidR="00F90D65">
        <w:t>Kluczowe d</w:t>
      </w:r>
      <w:r w:rsidR="0024086C">
        <w:t xml:space="preserve">la procesu identyfikacji jest pozyskanie i zweryfikowanie danych </w:t>
      </w:r>
      <w:r w:rsidR="00C46FAB">
        <w:t xml:space="preserve">na podstawie </w:t>
      </w:r>
      <w:r w:rsidR="0024086C">
        <w:t>dokument</w:t>
      </w:r>
      <w:r w:rsidR="003414C1">
        <w:t>u</w:t>
      </w:r>
      <w:r w:rsidR="00CF016D">
        <w:t xml:space="preserve"> stwierdzającego</w:t>
      </w:r>
      <w:r w:rsidR="003414C1">
        <w:t xml:space="preserve"> tożsamoś</w:t>
      </w:r>
      <w:r w:rsidR="00CF016D">
        <w:t>ć</w:t>
      </w:r>
      <w:r w:rsidR="003414C1">
        <w:t xml:space="preserve"> klienta (w tym daty</w:t>
      </w:r>
      <w:r w:rsidR="0024086C">
        <w:t xml:space="preserve"> ważności </w:t>
      </w:r>
      <w:r w:rsidR="003414C1">
        <w:t>dokumentu tożsamości</w:t>
      </w:r>
      <w:r w:rsidR="0024086C">
        <w:t>). Dokumentami potwierdzającymi</w:t>
      </w:r>
      <w:r w:rsidR="001162AE">
        <w:t>/stwierdzającymi</w:t>
      </w:r>
      <w:r w:rsidR="0024086C">
        <w:t xml:space="preserve"> tożsamość są np.: dowód osobisty (polski i obywateli UE), paszport (w tym paszport tymczasowy, dyplomatyczny, służbowy), książeczka żeglarska, żołnierska karta tożsamości, karta pobytu</w:t>
      </w:r>
      <w:r w:rsidR="00CB6492">
        <w:t xml:space="preserve">, </w:t>
      </w:r>
      <w:r w:rsidR="001162AE" w:rsidRPr="001162AE">
        <w:t>polski dokument tożsamości cudzoziemca, dokument „zgoda na pobyt tolerowany”, tymczasowe zaświadczenie tożsamości cudzoziemca, dokument podróży przewidziany w konwencji genewskiej dotyczącej statusu uchodźców</w:t>
      </w:r>
      <w:r w:rsidR="000E13AB">
        <w:t>)</w:t>
      </w:r>
      <w:r w:rsidR="00272A4B">
        <w:t xml:space="preserve">. </w:t>
      </w:r>
      <w:r w:rsidR="00FC003B">
        <w:t>KIP</w:t>
      </w:r>
      <w:r w:rsidR="00272A4B">
        <w:t xml:space="preserve"> powinna wskazać</w:t>
      </w:r>
      <w:r w:rsidR="00986C4A">
        <w:t>,</w:t>
      </w:r>
      <w:r w:rsidR="00272A4B">
        <w:t xml:space="preserve"> jakiego rodzaju dokumenty identyfikujące powinny być pozyskiwane od klientów w przypadku os</w:t>
      </w:r>
      <w:r w:rsidR="00740167">
        <w:t>o</w:t>
      </w:r>
      <w:r w:rsidR="00272A4B">
        <w:t>b</w:t>
      </w:r>
      <w:r w:rsidR="00740167">
        <w:t>y</w:t>
      </w:r>
      <w:r w:rsidR="00272A4B">
        <w:t xml:space="preserve"> prawn</w:t>
      </w:r>
      <w:r w:rsidR="00740167">
        <w:t>ej</w:t>
      </w:r>
      <w:r w:rsidR="00272A4B">
        <w:t xml:space="preserve"> lub jednostki organizacyjnej nieposiadającej osobowości prawnej</w:t>
      </w:r>
      <w:r w:rsidR="00EB1F70">
        <w:t xml:space="preserve">, w tym określić wiarygodne i niezależne źródła służące do weryfikacji tożsamości klientów. </w:t>
      </w:r>
    </w:p>
    <w:p w14:paraId="6B39D129" w14:textId="1261C996" w:rsidR="00F5144B" w:rsidRDefault="0024086C" w:rsidP="007C62D1">
      <w:pPr>
        <w:spacing w:after="120"/>
        <w:ind w:left="680"/>
      </w:pPr>
      <w:r>
        <w:t>W przypadku zawierania relacji na odległość z</w:t>
      </w:r>
      <w:r w:rsidR="007262CD">
        <w:t>biór dobrych praktyk zawiera</w:t>
      </w:r>
      <w:r w:rsidR="00966FF3">
        <w:t xml:space="preserve">: Stanowisko UKNF </w:t>
      </w:r>
      <w:r w:rsidR="00966FF3" w:rsidRPr="00740167">
        <w:rPr>
          <w:i/>
        </w:rPr>
        <w:t>dotyczące identyfikacji klienta i weryfikacji jego tożsamości w bankach oraz oddziałach instytucji kredytowych w oparciu o metodę wideoweryfikacji</w:t>
      </w:r>
      <w:r w:rsidR="00966FF3">
        <w:rPr>
          <w:rStyle w:val="Odwoanieprzypisudolnego"/>
        </w:rPr>
        <w:footnoteReference w:id="11"/>
      </w:r>
      <w:r w:rsidR="00966FF3">
        <w:t xml:space="preserve"> </w:t>
      </w:r>
      <w:r w:rsidR="007204B6">
        <w:t xml:space="preserve">z dnia 5 czerwca 2019 r. oraz </w:t>
      </w:r>
      <w:r w:rsidR="007262CD">
        <w:t xml:space="preserve">Stanowisko UKNF </w:t>
      </w:r>
      <w:r w:rsidR="007262CD" w:rsidRPr="007262CD">
        <w:rPr>
          <w:i/>
        </w:rPr>
        <w:t>dotyczące identyfikacji klienta instytucjonalnego i weryfikacji jego tożsamości w sektorze finansowym podlegającym nadzorowi Komisji Nadzoru Finansowego w oparciu o metodę wideoweryfikacji</w:t>
      </w:r>
      <w:r w:rsidR="007262CD">
        <w:rPr>
          <w:rStyle w:val="Odwoanieprzypisudolnego"/>
          <w:i/>
        </w:rPr>
        <w:footnoteReference w:id="12"/>
      </w:r>
      <w:r w:rsidR="007262CD">
        <w:t xml:space="preserve">z </w:t>
      </w:r>
      <w:r w:rsidR="003414C1">
        <w:t xml:space="preserve">dnia </w:t>
      </w:r>
      <w:r w:rsidR="007262CD">
        <w:t>3 maja 2022 r.</w:t>
      </w:r>
    </w:p>
    <w:p w14:paraId="4C7F2A33" w14:textId="77777777" w:rsidR="000872E3" w:rsidRDefault="000872E3" w:rsidP="007C62D1">
      <w:pPr>
        <w:spacing w:after="120"/>
        <w:ind w:left="680"/>
      </w:pPr>
    </w:p>
    <w:p w14:paraId="241A0A3B" w14:textId="45E4F815" w:rsidR="00FA67FB" w:rsidRDefault="003414C1" w:rsidP="006E5D99">
      <w:pPr>
        <w:pStyle w:val="Akapitzlist"/>
        <w:numPr>
          <w:ilvl w:val="0"/>
          <w:numId w:val="11"/>
        </w:numPr>
        <w:spacing w:after="120"/>
        <w:ind w:left="680"/>
      </w:pPr>
      <w:r w:rsidRPr="006B4B45">
        <w:rPr>
          <w:u w:val="single"/>
        </w:rPr>
        <w:lastRenderedPageBreak/>
        <w:t xml:space="preserve">Wytyczne dotyczące </w:t>
      </w:r>
      <w:r w:rsidR="00620D5B" w:rsidRPr="006B4B45">
        <w:rPr>
          <w:u w:val="single"/>
        </w:rPr>
        <w:t>identyfikacji</w:t>
      </w:r>
      <w:r w:rsidR="00F5144B" w:rsidRPr="006B4B45">
        <w:rPr>
          <w:u w:val="single"/>
        </w:rPr>
        <w:t xml:space="preserve"> beneficjent</w:t>
      </w:r>
      <w:r w:rsidR="00620D5B" w:rsidRPr="006B4B45">
        <w:rPr>
          <w:u w:val="single"/>
        </w:rPr>
        <w:t>a rzeczywistego</w:t>
      </w:r>
      <w:r w:rsidR="00E15DC5" w:rsidRPr="006B4B45">
        <w:rPr>
          <w:u w:val="single"/>
        </w:rPr>
        <w:t xml:space="preserve"> oraz </w:t>
      </w:r>
      <w:r w:rsidR="003C1EC4" w:rsidRPr="006B4B45">
        <w:rPr>
          <w:u w:val="single"/>
        </w:rPr>
        <w:t xml:space="preserve">podejmowanie uzasadnionych czynności w celu </w:t>
      </w:r>
      <w:r w:rsidR="00620D5B" w:rsidRPr="006B4B45">
        <w:rPr>
          <w:u w:val="single"/>
        </w:rPr>
        <w:t>weryfikacji jego tożsamości</w:t>
      </w:r>
      <w:r w:rsidR="003C1EC4" w:rsidRPr="006B4B45">
        <w:rPr>
          <w:u w:val="single"/>
        </w:rPr>
        <w:t>,</w:t>
      </w:r>
      <w:r w:rsidR="00620D5B" w:rsidRPr="006B4B45">
        <w:rPr>
          <w:u w:val="single"/>
        </w:rPr>
        <w:t xml:space="preserve"> ustalenia</w:t>
      </w:r>
      <w:r w:rsidR="00F5144B" w:rsidRPr="006B4B45">
        <w:rPr>
          <w:u w:val="single"/>
        </w:rPr>
        <w:t xml:space="preserve"> struktury własności </w:t>
      </w:r>
      <w:r w:rsidR="00DF4FA4" w:rsidRPr="006B4B45">
        <w:rPr>
          <w:u w:val="single"/>
        </w:rPr>
        <w:br/>
      </w:r>
      <w:r w:rsidR="00F5144B" w:rsidRPr="006B4B45">
        <w:rPr>
          <w:u w:val="single"/>
        </w:rPr>
        <w:t>i kontroli</w:t>
      </w:r>
      <w:r w:rsidR="002B09FF" w:rsidRPr="006B4B45">
        <w:rPr>
          <w:u w:val="single"/>
        </w:rPr>
        <w:t>,</w:t>
      </w:r>
      <w:r w:rsidR="00F5144B" w:rsidRPr="006B4B45">
        <w:rPr>
          <w:u w:val="single"/>
        </w:rPr>
        <w:t xml:space="preserve"> zgodnie z definicją zawartą w art. 2 ust. 2 pkt 1 </w:t>
      </w:r>
      <w:r w:rsidRPr="006B4B45">
        <w:rPr>
          <w:u w:val="single"/>
        </w:rPr>
        <w:t>u</w:t>
      </w:r>
      <w:r w:rsidR="00F5144B" w:rsidRPr="006B4B45">
        <w:rPr>
          <w:u w:val="single"/>
        </w:rPr>
        <w:t>stawy</w:t>
      </w:r>
      <w:r w:rsidRPr="006B4B45">
        <w:rPr>
          <w:u w:val="single"/>
        </w:rPr>
        <w:t xml:space="preserve"> AML</w:t>
      </w:r>
      <w:r w:rsidR="00927414">
        <w:t xml:space="preserve">. W każdym przypadku, gdy klient </w:t>
      </w:r>
      <w:r w:rsidR="00A04F59">
        <w:t xml:space="preserve">jest osobą prawną albo jednostką organizacyjną nieposiadającą osobowości prawnej, </w:t>
      </w:r>
      <w:r w:rsidR="00FC003B">
        <w:t>KIP</w:t>
      </w:r>
      <w:r w:rsidR="001162AE">
        <w:t xml:space="preserve"> </w:t>
      </w:r>
      <w:r w:rsidR="00A04F59">
        <w:t xml:space="preserve">powinna ustalić </w:t>
      </w:r>
      <w:r w:rsidR="00DF4FA4">
        <w:t xml:space="preserve">każdą </w:t>
      </w:r>
      <w:r w:rsidR="00A04F59">
        <w:t>osobę</w:t>
      </w:r>
      <w:r w:rsidR="00E15DC5">
        <w:t xml:space="preserve"> fizyczną</w:t>
      </w:r>
      <w:r w:rsidR="00A04F59">
        <w:t>, która jest beneficjentem rzeczywistym danego podmiotu</w:t>
      </w:r>
      <w:r w:rsidR="00DF4FA4">
        <w:t xml:space="preserve"> w rozumieniu art. 2 ust</w:t>
      </w:r>
      <w:r w:rsidR="00EC2C2F">
        <w:t>.</w:t>
      </w:r>
      <w:r w:rsidR="00DF4FA4">
        <w:t xml:space="preserve"> 2 </w:t>
      </w:r>
      <w:r w:rsidR="00654CD1">
        <w:t>pkt 1 ustawy AML</w:t>
      </w:r>
      <w:r w:rsidR="00A04F59">
        <w:t xml:space="preserve">. </w:t>
      </w:r>
      <w:r w:rsidR="00654CD1">
        <w:t>Wobec powyższego należy wskazać, iż p</w:t>
      </w:r>
      <w:r w:rsidR="00A04F59">
        <w:t xml:space="preserve">ojęcie </w:t>
      </w:r>
      <w:r w:rsidR="00A04F59" w:rsidRPr="006B4B45">
        <w:rPr>
          <w:b/>
        </w:rPr>
        <w:t>beneficjenta</w:t>
      </w:r>
      <w:r w:rsidR="00A04F59">
        <w:t xml:space="preserve"> </w:t>
      </w:r>
      <w:r w:rsidR="00A04F59" w:rsidRPr="006B4B45">
        <w:rPr>
          <w:b/>
        </w:rPr>
        <w:t>rzeczywistego</w:t>
      </w:r>
      <w:r w:rsidR="00A04F59">
        <w:t xml:space="preserve"> sprowadza się do wskazania osoby/osób, które sprawują kontrolę nad klientem w sposób bezpośredni lub pośredni rozumianej jako możliwość decydowania o czynnościach lub działaniach podejmowanych przez klienta.</w:t>
      </w:r>
      <w:r w:rsidR="00E15DC5">
        <w:t xml:space="preserve"> </w:t>
      </w:r>
      <w:r w:rsidR="003C1EC4">
        <w:t xml:space="preserve">Czynności podejmowane w celu weryfikacji tożsamości beneficjenta rzeczywistego </w:t>
      </w:r>
      <w:r w:rsidR="006068D0">
        <w:t xml:space="preserve">i </w:t>
      </w:r>
      <w:r w:rsidR="003C1EC4">
        <w:t xml:space="preserve">ustalenia jego struktury własności mogą polegać </w:t>
      </w:r>
      <w:r w:rsidR="00526AF1">
        <w:t>np.</w:t>
      </w:r>
      <w:r w:rsidR="003C1EC4">
        <w:t>:</w:t>
      </w:r>
      <w:r w:rsidR="00E15DC5">
        <w:t xml:space="preserve"> </w:t>
      </w:r>
      <w:r w:rsidR="00526AF1">
        <w:t xml:space="preserve">na </w:t>
      </w:r>
      <w:r w:rsidR="003C1EC4">
        <w:t>korzystaniu z usług profes</w:t>
      </w:r>
      <w:r w:rsidR="00526AF1">
        <w:t>jonalnych podmiotów, samodzielnym</w:t>
      </w:r>
      <w:r w:rsidR="003C1EC4">
        <w:t xml:space="preserve"> poszukiwani</w:t>
      </w:r>
      <w:r w:rsidR="00526AF1">
        <w:t>u</w:t>
      </w:r>
      <w:r w:rsidR="003C1EC4">
        <w:t xml:space="preserve"> informacji </w:t>
      </w:r>
      <w:r w:rsidR="00740167">
        <w:br/>
      </w:r>
      <w:r w:rsidR="003C1EC4">
        <w:t>i dokumentów, pozyskani</w:t>
      </w:r>
      <w:r w:rsidR="00526AF1">
        <w:t>u</w:t>
      </w:r>
      <w:r w:rsidR="003C1EC4">
        <w:t xml:space="preserve"> od klienta stosownych dokumentów. </w:t>
      </w:r>
    </w:p>
    <w:p w14:paraId="1607487C" w14:textId="5022C9E3" w:rsidR="00465B3A" w:rsidRDefault="00C136F7" w:rsidP="006B4B45">
      <w:pPr>
        <w:pStyle w:val="Akapitzlist"/>
        <w:spacing w:after="120"/>
        <w:ind w:left="680"/>
      </w:pPr>
      <w:r>
        <w:t xml:space="preserve">W art. 39 </w:t>
      </w:r>
      <w:r w:rsidR="006068D0">
        <w:t>u</w:t>
      </w:r>
      <w:r>
        <w:t xml:space="preserve">stawy </w:t>
      </w:r>
      <w:r w:rsidR="006068D0">
        <w:t xml:space="preserve">AML </w:t>
      </w:r>
      <w:r>
        <w:t>został wskazan</w:t>
      </w:r>
      <w:r w:rsidR="009A4A8D">
        <w:t>y moment</w:t>
      </w:r>
      <w:r w:rsidR="00715B41">
        <w:t xml:space="preserve">, w </w:t>
      </w:r>
      <w:r w:rsidR="009A4A8D">
        <w:t>którym</w:t>
      </w:r>
      <w:r w:rsidR="00715B41">
        <w:t xml:space="preserve"> I</w:t>
      </w:r>
      <w:r w:rsidR="00A72DCC">
        <w:t>O jest obowiązana do weryfikacji</w:t>
      </w:r>
      <w:r w:rsidR="00715B41">
        <w:t xml:space="preserve"> tożsamości klienta i beneficjenta rzeczywistego. Ustawa </w:t>
      </w:r>
      <w:r w:rsidR="00DB3734">
        <w:t xml:space="preserve">AML </w:t>
      </w:r>
      <w:r w:rsidR="00715B41">
        <w:t xml:space="preserve">dopuszcza zakończenie weryfikacji tożsamości klienta i beneficjenta rzeczywistego podczas nawiązywania stosunków gospodarczych, jeżeli jest to konieczne do zapewnienia ciągłości działalności gospodarczej pod warunkiem, że przeprowadzona pełna ocena ryzyka wskaże na </w:t>
      </w:r>
      <w:r w:rsidR="006122C9">
        <w:t>niski poziom ryzyka</w:t>
      </w:r>
      <w:r w:rsidR="00715B41">
        <w:t xml:space="preserve">. </w:t>
      </w:r>
    </w:p>
    <w:p w14:paraId="307488BA" w14:textId="7C0E1F08" w:rsidR="00A522D5" w:rsidRDefault="005D3311" w:rsidP="006E5D99">
      <w:pPr>
        <w:pStyle w:val="Akapitzlist"/>
        <w:numPr>
          <w:ilvl w:val="0"/>
          <w:numId w:val="11"/>
        </w:numPr>
        <w:spacing w:after="120"/>
        <w:ind w:left="717"/>
      </w:pPr>
      <w:r w:rsidRPr="006B4B45">
        <w:rPr>
          <w:u w:val="single"/>
        </w:rPr>
        <w:t>Sposób dokonywania oceny stosunków gospodarczych, który powinien bazować na całokształcie posiadanych informacji o kliencie w kontekście usług i produktów</w:t>
      </w:r>
      <w:r w:rsidR="00654CD1" w:rsidRPr="006B4B45">
        <w:rPr>
          <w:u w:val="single"/>
        </w:rPr>
        <w:t>,</w:t>
      </w:r>
      <w:r w:rsidRPr="006B4B45">
        <w:rPr>
          <w:u w:val="single"/>
        </w:rPr>
        <w:t xml:space="preserve"> z których klient korzysta</w:t>
      </w:r>
      <w:r>
        <w:t>. Stosownie do sytuacji</w:t>
      </w:r>
      <w:r w:rsidR="000271EA">
        <w:t>,</w:t>
      </w:r>
      <w:r>
        <w:t xml:space="preserve"> </w:t>
      </w:r>
      <w:r w:rsidR="00FC003B">
        <w:t>KIP</w:t>
      </w:r>
      <w:r w:rsidR="001162AE">
        <w:t xml:space="preserve"> </w:t>
      </w:r>
      <w:r>
        <w:t xml:space="preserve">powinna ustalić </w:t>
      </w:r>
      <w:r w:rsidR="007E6BEA">
        <w:t>cel i zamierzon</w:t>
      </w:r>
      <w:r>
        <w:t>y</w:t>
      </w:r>
      <w:r w:rsidR="007E6BEA">
        <w:t xml:space="preserve"> charakter stosunków </w:t>
      </w:r>
      <w:r w:rsidR="00A522D5">
        <w:t>gospodarczych (na podstawie informacji uzyskanych od klienta, z zewnętrznych baz danych, ze stron internetowych, na podstaw</w:t>
      </w:r>
      <w:r w:rsidR="00CF4FF0">
        <w:t>ie przeprowadzanych transakcji</w:t>
      </w:r>
      <w:r w:rsidR="00654CD1">
        <w:t xml:space="preserve"> oraz innych wiarygodnych informacji</w:t>
      </w:r>
      <w:r w:rsidR="00CF4FF0">
        <w:t>).</w:t>
      </w:r>
    </w:p>
    <w:p w14:paraId="01AE0C95" w14:textId="62488B89" w:rsidR="008C6FA8" w:rsidRPr="004E3457" w:rsidRDefault="00F35FF2" w:rsidP="006E5D99">
      <w:pPr>
        <w:pStyle w:val="Akapitzlist"/>
        <w:numPr>
          <w:ilvl w:val="0"/>
          <w:numId w:val="11"/>
        </w:numPr>
        <w:spacing w:after="0"/>
        <w:ind w:left="700"/>
      </w:pPr>
      <w:r w:rsidRPr="00C37F27">
        <w:rPr>
          <w:u w:val="single"/>
        </w:rPr>
        <w:t>Wytycz</w:t>
      </w:r>
      <w:r w:rsidR="00FA43F6" w:rsidRPr="00C37F27">
        <w:rPr>
          <w:u w:val="single"/>
        </w:rPr>
        <w:t xml:space="preserve">ne dotyczące sposobu wykonywania środka bezpieczeństwa finansowego polegającego na </w:t>
      </w:r>
      <w:r w:rsidR="006860E0" w:rsidRPr="00C37F27">
        <w:rPr>
          <w:u w:val="single"/>
        </w:rPr>
        <w:t>bieżąc</w:t>
      </w:r>
      <w:r w:rsidR="00FA43F6" w:rsidRPr="00C37F27">
        <w:rPr>
          <w:u w:val="single"/>
        </w:rPr>
        <w:t>ym</w:t>
      </w:r>
      <w:r w:rsidR="006860E0" w:rsidRPr="00C37F27">
        <w:rPr>
          <w:u w:val="single"/>
        </w:rPr>
        <w:t xml:space="preserve"> monitorowani</w:t>
      </w:r>
      <w:r w:rsidR="00FA43F6" w:rsidRPr="00C37F27">
        <w:rPr>
          <w:u w:val="single"/>
        </w:rPr>
        <w:t>u</w:t>
      </w:r>
      <w:r w:rsidR="006860E0" w:rsidRPr="00C37F27">
        <w:rPr>
          <w:u w:val="single"/>
        </w:rPr>
        <w:t xml:space="preserve"> stosunków gospodarc</w:t>
      </w:r>
      <w:r w:rsidR="00927414" w:rsidRPr="00C37F27">
        <w:rPr>
          <w:u w:val="single"/>
        </w:rPr>
        <w:t>zych</w:t>
      </w:r>
      <w:r w:rsidR="00FA43F6" w:rsidRPr="00C37F27">
        <w:rPr>
          <w:u w:val="single"/>
        </w:rPr>
        <w:t xml:space="preserve"> klienta.</w:t>
      </w:r>
      <w:r w:rsidR="00927414">
        <w:t xml:space="preserve"> </w:t>
      </w:r>
      <w:r w:rsidR="00FA67FB">
        <w:t xml:space="preserve">KNF oczekuje, że </w:t>
      </w:r>
      <w:r w:rsidR="00927414" w:rsidRPr="00CF4FF0">
        <w:rPr>
          <w:i/>
        </w:rPr>
        <w:t>Procedura</w:t>
      </w:r>
      <w:r w:rsidR="00927414">
        <w:t xml:space="preserve"> zawierać</w:t>
      </w:r>
      <w:r w:rsidR="00FA67FB">
        <w:t xml:space="preserve"> będzie</w:t>
      </w:r>
      <w:r w:rsidR="00927414">
        <w:t xml:space="preserve"> opis procesów </w:t>
      </w:r>
      <w:r w:rsidR="00465B3A">
        <w:t>monitorowania transakcji poprzez wykonywanie podstawowych obowiązków</w:t>
      </w:r>
      <w:r w:rsidR="00732702">
        <w:t>,</w:t>
      </w:r>
      <w:r w:rsidR="00CF4FF0">
        <w:t xml:space="preserve"> takich jak</w:t>
      </w:r>
      <w:r w:rsidR="008C6FA8" w:rsidRPr="004E3457">
        <w:t>:</w:t>
      </w:r>
    </w:p>
    <w:p w14:paraId="0D256EC6" w14:textId="77777777" w:rsidR="008C6FA8" w:rsidRDefault="00620D5B" w:rsidP="006E5D99">
      <w:pPr>
        <w:pStyle w:val="Akapitzlist"/>
        <w:numPr>
          <w:ilvl w:val="0"/>
          <w:numId w:val="12"/>
        </w:numPr>
        <w:spacing w:after="0"/>
        <w:ind w:left="1040"/>
      </w:pPr>
      <w:r>
        <w:t>a</w:t>
      </w:r>
      <w:r w:rsidR="00927414">
        <w:t>naliz</w:t>
      </w:r>
      <w:r w:rsidR="00CF4FF0">
        <w:t>a</w:t>
      </w:r>
      <w:r w:rsidR="008C6FA8">
        <w:t xml:space="preserve"> transakcji przeprowadzanych w ramach stosunków gospodarczych,</w:t>
      </w:r>
    </w:p>
    <w:p w14:paraId="70174FB6" w14:textId="4FCE4505" w:rsidR="008C6FA8" w:rsidRDefault="00620D5B" w:rsidP="006E5D99">
      <w:pPr>
        <w:pStyle w:val="Akapitzlist"/>
        <w:numPr>
          <w:ilvl w:val="0"/>
          <w:numId w:val="12"/>
        </w:numPr>
        <w:spacing w:after="0"/>
        <w:ind w:left="1040"/>
      </w:pPr>
      <w:r>
        <w:t>b</w:t>
      </w:r>
      <w:r w:rsidR="008C6FA8">
        <w:t>ieżąc</w:t>
      </w:r>
      <w:r w:rsidR="00CF4FF0">
        <w:t>a</w:t>
      </w:r>
      <w:r w:rsidR="008C6FA8">
        <w:t xml:space="preserve"> analiz</w:t>
      </w:r>
      <w:r w:rsidR="00CF4FF0">
        <w:t>a</w:t>
      </w:r>
      <w:r w:rsidR="008C6FA8">
        <w:t xml:space="preserve"> transakcji,</w:t>
      </w:r>
    </w:p>
    <w:p w14:paraId="4959E946" w14:textId="3D7B4ADD" w:rsidR="006860E0" w:rsidRDefault="00620D5B" w:rsidP="006E5D99">
      <w:pPr>
        <w:pStyle w:val="Akapitzlist"/>
        <w:numPr>
          <w:ilvl w:val="0"/>
          <w:numId w:val="12"/>
        </w:numPr>
        <w:spacing w:after="0"/>
        <w:ind w:left="1040"/>
      </w:pPr>
      <w:r>
        <w:t>w</w:t>
      </w:r>
      <w:r w:rsidR="00576D04">
        <w:t>zmożon</w:t>
      </w:r>
      <w:r w:rsidR="00CF4FF0">
        <w:t>a</w:t>
      </w:r>
      <w:r w:rsidR="00927414">
        <w:t xml:space="preserve"> analiz</w:t>
      </w:r>
      <w:r w:rsidR="00CF4FF0">
        <w:t>a</w:t>
      </w:r>
      <w:r w:rsidR="00576D04">
        <w:t xml:space="preserve"> w przypadku transakcji nietypowych, złożonych, wysokokwotowych</w:t>
      </w:r>
      <w:r w:rsidR="00D82B50">
        <w:t xml:space="preserve"> </w:t>
      </w:r>
      <w:r w:rsidR="00576D04">
        <w:t>i osób zajmujących eksponowane stanowiska polityczne.</w:t>
      </w:r>
      <w:r w:rsidR="006860E0">
        <w:t xml:space="preserve"> </w:t>
      </w:r>
    </w:p>
    <w:p w14:paraId="19571034" w14:textId="44C97B34" w:rsidR="00465B3A" w:rsidRDefault="00465B3A" w:rsidP="00186ACD">
      <w:pPr>
        <w:spacing w:before="120"/>
        <w:ind w:left="680"/>
      </w:pPr>
      <w:r>
        <w:t xml:space="preserve">W ramach stosowania tego </w:t>
      </w:r>
      <w:r w:rsidRPr="008E7697">
        <w:t>środka</w:t>
      </w:r>
      <w:r>
        <w:t xml:space="preserve"> bezpieczeństwa </w:t>
      </w:r>
      <w:r w:rsidR="00FC003B">
        <w:t>KIP</w:t>
      </w:r>
      <w:r w:rsidR="001162AE">
        <w:t xml:space="preserve"> </w:t>
      </w:r>
      <w:r>
        <w:t xml:space="preserve">powinna </w:t>
      </w:r>
      <w:r w:rsidR="008E7697">
        <w:t>mieć możliwość wykrycia</w:t>
      </w:r>
      <w:r>
        <w:t xml:space="preserve"> </w:t>
      </w:r>
      <w:r w:rsidR="00CA3DB3">
        <w:t>transakcj</w:t>
      </w:r>
      <w:r w:rsidR="008E7697">
        <w:t>i</w:t>
      </w:r>
      <w:r w:rsidR="00CA3DB3">
        <w:t xml:space="preserve"> potencjalnie </w:t>
      </w:r>
      <w:r>
        <w:t>podejrz</w:t>
      </w:r>
      <w:r w:rsidR="00CA3DB3">
        <w:t>an</w:t>
      </w:r>
      <w:r w:rsidR="008E7697">
        <w:t>ych</w:t>
      </w:r>
      <w:r w:rsidR="00CA3DB3">
        <w:t>, mogąc</w:t>
      </w:r>
      <w:r w:rsidR="008E7697">
        <w:t>ych</w:t>
      </w:r>
      <w:r w:rsidR="00CA3DB3">
        <w:t xml:space="preserve"> mieć związek z przestępst</w:t>
      </w:r>
      <w:r w:rsidR="00E43664">
        <w:t>w</w:t>
      </w:r>
      <w:r w:rsidR="00CA3DB3">
        <w:t>em</w:t>
      </w:r>
      <w:r>
        <w:t xml:space="preserve"> prania pieniędzy bądź finansowania terroryzmu.</w:t>
      </w:r>
    </w:p>
    <w:p w14:paraId="3C155257" w14:textId="56406C3F" w:rsidR="00550C92" w:rsidRDefault="00550C92" w:rsidP="00186ACD">
      <w:pPr>
        <w:spacing w:before="120"/>
        <w:ind w:left="680"/>
      </w:pPr>
      <w:r>
        <w:t xml:space="preserve">W </w:t>
      </w:r>
      <w:r w:rsidR="00FC003B">
        <w:t>KIP</w:t>
      </w:r>
      <w:r>
        <w:t xml:space="preserve"> realizujących znaczną liczbę transakcji, bieżąca ich analiza powinna odbywać się </w:t>
      </w:r>
      <w:r w:rsidR="00F10A9D">
        <w:br/>
      </w:r>
      <w:r>
        <w:t xml:space="preserve">z </w:t>
      </w:r>
      <w:r w:rsidRPr="00186ACD">
        <w:t>wykorzystaniem</w:t>
      </w:r>
      <w:r>
        <w:t xml:space="preserve"> przeznaczonych do tego celu programów informatycznych </w:t>
      </w:r>
      <w:r w:rsidR="008E7697">
        <w:t xml:space="preserve">stosujących </w:t>
      </w:r>
      <w:r>
        <w:t>odpowiednie reguły wyszukujące transakcje potencjalnie podejrzane. Źródłem określenia tych reguł mogą być typologie udostępniane przez np. GIIF, FATF</w:t>
      </w:r>
      <w:r>
        <w:rPr>
          <w:rStyle w:val="Odwoanieprzypisudolnego"/>
        </w:rPr>
        <w:footnoteReference w:id="13"/>
      </w:r>
      <w:r>
        <w:t xml:space="preserve"> lub wiedza własna </w:t>
      </w:r>
      <w:r w:rsidR="00D82B50">
        <w:t>KIP.</w:t>
      </w:r>
      <w:r>
        <w:t xml:space="preserve"> </w:t>
      </w:r>
      <w:r>
        <w:lastRenderedPageBreak/>
        <w:t xml:space="preserve">Reguły powinny być na bieżąco aktualizowanie, co podyktowane jest ciągłymi zmianami otoczenia lub pojawieniem się nowych schematów prania pieniędzy lub finansowania terroryzmu. Przy wykorzystywaniu programów analizujących transakcje istotna jest </w:t>
      </w:r>
      <w:r w:rsidRPr="00D97EC8">
        <w:rPr>
          <w:b/>
        </w:rPr>
        <w:t>c</w:t>
      </w:r>
      <w:r w:rsidRPr="006B4B45">
        <w:rPr>
          <w:b/>
        </w:rPr>
        <w:t>zęstotliwo</w:t>
      </w:r>
      <w:r w:rsidRPr="003A61AB">
        <w:rPr>
          <w:b/>
        </w:rPr>
        <w:t>ść</w:t>
      </w:r>
      <w:r>
        <w:t xml:space="preserve">, z jaką reguły wyszukują transakcje potencjalnie podejrzane oraz </w:t>
      </w:r>
      <w:r w:rsidRPr="006B4B45">
        <w:rPr>
          <w:b/>
        </w:rPr>
        <w:t>parametryzacja</w:t>
      </w:r>
      <w:r>
        <w:t xml:space="preserve"> </w:t>
      </w:r>
      <w:r w:rsidRPr="006B4B45">
        <w:rPr>
          <w:b/>
        </w:rPr>
        <w:t>reguł</w:t>
      </w:r>
      <w:r>
        <w:t>, która nie powinna pomijać istotnych kryteriów. Każda analiza alertu zgłoszonego przez system, jak i same alerty, powinny podlegać archiwizacji. Właściwym rozwiązaniem jest również nadzorowanie zamkniętych alertów przez osobę kierującą komórką AML/CFT.</w:t>
      </w:r>
    </w:p>
    <w:p w14:paraId="00859A23" w14:textId="77777777" w:rsidR="000872E3" w:rsidRDefault="000872E3" w:rsidP="00186ACD">
      <w:pPr>
        <w:spacing w:before="120"/>
        <w:ind w:left="680"/>
      </w:pPr>
    </w:p>
    <w:p w14:paraId="602066E2" w14:textId="38F17035" w:rsidR="00BB1DC3" w:rsidRDefault="00550C92" w:rsidP="00BB1DC3">
      <w:pPr>
        <w:ind w:left="680"/>
      </w:pPr>
      <w:r>
        <w:t xml:space="preserve">W </w:t>
      </w:r>
      <w:r w:rsidR="00FC003B">
        <w:t>KIP</w:t>
      </w:r>
      <w:r>
        <w:t xml:space="preserve"> przeprowadzających niewielką liczbę transakcji </w:t>
      </w:r>
      <w:r w:rsidR="001162AE">
        <w:t xml:space="preserve">płatniczych </w:t>
      </w:r>
      <w:r>
        <w:t>ich analiza może odbywać się manualnie.</w:t>
      </w:r>
      <w:r w:rsidR="000872E3">
        <w:t xml:space="preserve"> </w:t>
      </w:r>
      <w:r w:rsidR="00BB1DC3">
        <w:t xml:space="preserve">W zależności od wielkości i skomplikowania </w:t>
      </w:r>
      <w:r w:rsidR="00732702">
        <w:t xml:space="preserve">(złożoności) </w:t>
      </w:r>
      <w:r w:rsidR="00BB1DC3">
        <w:t xml:space="preserve">procesów i produktów analiza może obejmować różne okresy. </w:t>
      </w:r>
    </w:p>
    <w:p w14:paraId="2617E4B2" w14:textId="77777777" w:rsidR="000872E3" w:rsidRDefault="000872E3" w:rsidP="00BB1DC3">
      <w:pPr>
        <w:ind w:left="680"/>
      </w:pPr>
    </w:p>
    <w:p w14:paraId="5617CE2F" w14:textId="59241C9B" w:rsidR="00BB1DC3" w:rsidRPr="009E2672" w:rsidRDefault="00BB1DC3" w:rsidP="008667C4">
      <w:pPr>
        <w:spacing w:after="120"/>
        <w:ind w:left="680"/>
        <w:rPr>
          <w:i/>
        </w:rPr>
      </w:pPr>
      <w:r>
        <w:t xml:space="preserve">Wynikiem przeprowadzonej analizy transakcji powinno być rozstrzygnięcie, czy transakcje klienta są zgodne z wiedzą </w:t>
      </w:r>
      <w:r w:rsidR="00FC003B">
        <w:t>KIP</w:t>
      </w:r>
      <w:r>
        <w:t xml:space="preserve"> o nim i jego działalności. W swoich działaniach </w:t>
      </w:r>
      <w:r w:rsidR="00FC003B">
        <w:t>KIP</w:t>
      </w:r>
      <w:r>
        <w:t xml:space="preserve"> powinna uwzględnić wytyczne zawarte w Komunikacie GIIF nr 31</w:t>
      </w:r>
      <w:r w:rsidR="009E2672">
        <w:t xml:space="preserve"> </w:t>
      </w:r>
      <w:r w:rsidR="009E2672" w:rsidRPr="009E2672">
        <w:rPr>
          <w:i/>
          <w:color w:val="1B1B1B"/>
          <w:szCs w:val="24"/>
        </w:rPr>
        <w:t xml:space="preserve">w sprawie działań podejmowanych przez instytucje obowiązane w przypadku realizacji przez klienta transakcji niezgodnych </w:t>
      </w:r>
      <w:r w:rsidR="00F10A9D">
        <w:rPr>
          <w:i/>
          <w:color w:val="1B1B1B"/>
          <w:szCs w:val="24"/>
        </w:rPr>
        <w:br/>
      </w:r>
      <w:r w:rsidR="009E2672" w:rsidRPr="009E2672">
        <w:rPr>
          <w:i/>
          <w:color w:val="1B1B1B"/>
          <w:szCs w:val="24"/>
        </w:rPr>
        <w:t>z wiedzą tej instytucji o kliencie, rodzaju i zakresie prowadzonej przez niego działalności</w:t>
      </w:r>
      <w:r w:rsidR="009E2672">
        <w:rPr>
          <w:rStyle w:val="Odwoanieprzypisudolnego"/>
          <w:color w:val="1B1B1B"/>
          <w:szCs w:val="24"/>
        </w:rPr>
        <w:footnoteReference w:id="14"/>
      </w:r>
      <w:r w:rsidR="005A5C7E">
        <w:rPr>
          <w:color w:val="1B1B1B"/>
          <w:szCs w:val="24"/>
        </w:rPr>
        <w:t>.</w:t>
      </w:r>
    </w:p>
    <w:p w14:paraId="6A4DB1FF" w14:textId="42FC318B" w:rsidR="00576D04" w:rsidRPr="00EC3078" w:rsidRDefault="009C343B" w:rsidP="00E43664">
      <w:pPr>
        <w:pStyle w:val="Tekstkomentarza"/>
        <w:spacing w:before="120" w:line="276" w:lineRule="auto"/>
        <w:ind w:left="680"/>
        <w:rPr>
          <w:szCs w:val="24"/>
        </w:rPr>
      </w:pPr>
      <w:r w:rsidRPr="00D64465">
        <w:rPr>
          <w:sz w:val="24"/>
          <w:szCs w:val="24"/>
        </w:rPr>
        <w:t>N</w:t>
      </w:r>
      <w:r w:rsidR="00576D04" w:rsidRPr="00D64465">
        <w:rPr>
          <w:sz w:val="24"/>
          <w:szCs w:val="24"/>
        </w:rPr>
        <w:t xml:space="preserve">ależy </w:t>
      </w:r>
      <w:r w:rsidRPr="00D64465">
        <w:rPr>
          <w:sz w:val="24"/>
          <w:szCs w:val="24"/>
        </w:rPr>
        <w:t xml:space="preserve">również </w:t>
      </w:r>
      <w:r w:rsidR="00576D04" w:rsidRPr="00D64465">
        <w:rPr>
          <w:sz w:val="24"/>
          <w:szCs w:val="24"/>
        </w:rPr>
        <w:t xml:space="preserve">uwzględnić szczegółowe </w:t>
      </w:r>
      <w:r w:rsidR="005A5C7E" w:rsidRPr="00D64465">
        <w:rPr>
          <w:sz w:val="24"/>
          <w:szCs w:val="24"/>
        </w:rPr>
        <w:t xml:space="preserve">wymogi </w:t>
      </w:r>
      <w:r w:rsidR="00576D04" w:rsidRPr="00D64465">
        <w:rPr>
          <w:sz w:val="24"/>
          <w:szCs w:val="24"/>
        </w:rPr>
        <w:t xml:space="preserve">zawarte w </w:t>
      </w:r>
      <w:r w:rsidR="0075204F" w:rsidRPr="00D64465">
        <w:rPr>
          <w:sz w:val="24"/>
          <w:szCs w:val="24"/>
        </w:rPr>
        <w:t>R</w:t>
      </w:r>
      <w:r w:rsidR="00576D04" w:rsidRPr="00D64465">
        <w:rPr>
          <w:sz w:val="24"/>
          <w:szCs w:val="24"/>
        </w:rPr>
        <w:t xml:space="preserve">ozporządzeniu </w:t>
      </w:r>
      <w:r w:rsidR="00BF2920" w:rsidRPr="00D64465">
        <w:rPr>
          <w:sz w:val="24"/>
          <w:szCs w:val="24"/>
        </w:rPr>
        <w:t xml:space="preserve">Parlamentu Europejskiego i Rady (UE) </w:t>
      </w:r>
      <w:r w:rsidR="00576D04" w:rsidRPr="00D64465">
        <w:rPr>
          <w:sz w:val="24"/>
          <w:szCs w:val="24"/>
        </w:rPr>
        <w:t>2015/847</w:t>
      </w:r>
      <w:r w:rsidR="00BF2920" w:rsidRPr="00D64465">
        <w:rPr>
          <w:sz w:val="24"/>
          <w:szCs w:val="24"/>
        </w:rPr>
        <w:t xml:space="preserve"> z dnia 20 maja 2015 r.</w:t>
      </w:r>
      <w:r w:rsidR="009252C3" w:rsidRPr="00D64465">
        <w:rPr>
          <w:sz w:val="24"/>
          <w:szCs w:val="24"/>
        </w:rPr>
        <w:t xml:space="preserve"> </w:t>
      </w:r>
      <w:r w:rsidR="009252C3" w:rsidRPr="00D64465">
        <w:rPr>
          <w:i/>
          <w:sz w:val="24"/>
          <w:szCs w:val="24"/>
        </w:rPr>
        <w:t>w sprawie informacji towarzyszących transferom środków pieniężnych i uchylenia rozporządzenia (WE) nr 1781/2006</w:t>
      </w:r>
      <w:r w:rsidR="009252C3" w:rsidRPr="00D64465">
        <w:rPr>
          <w:sz w:val="24"/>
          <w:szCs w:val="24"/>
        </w:rPr>
        <w:t xml:space="preserve"> (</w:t>
      </w:r>
      <w:r w:rsidR="009252C3" w:rsidRPr="00D64465">
        <w:rPr>
          <w:i/>
          <w:sz w:val="24"/>
          <w:szCs w:val="24"/>
        </w:rPr>
        <w:t>Rozporządzenie 2015/847</w:t>
      </w:r>
      <w:r w:rsidR="009252C3" w:rsidRPr="00D64465">
        <w:rPr>
          <w:sz w:val="24"/>
          <w:szCs w:val="24"/>
        </w:rPr>
        <w:t>)</w:t>
      </w:r>
      <w:r w:rsidR="0059565E" w:rsidRPr="00D64465">
        <w:rPr>
          <w:sz w:val="24"/>
          <w:szCs w:val="24"/>
        </w:rPr>
        <w:t xml:space="preserve"> oraz w Wspólnych wytycznych wydanych na mocy art. 25 rozporządzenia (UE) 2015/847 dotycząc</w:t>
      </w:r>
      <w:r w:rsidR="008D6D73">
        <w:rPr>
          <w:sz w:val="24"/>
          <w:szCs w:val="24"/>
        </w:rPr>
        <w:t>ych</w:t>
      </w:r>
      <w:r w:rsidR="0059565E" w:rsidRPr="00D64465">
        <w:rPr>
          <w:sz w:val="24"/>
          <w:szCs w:val="24"/>
        </w:rPr>
        <w:t xml:space="preserve"> środków, które dostawcy usług płatniczych powinni podjąć w celu wykrycia brakujących lub niekompletnych informacji </w:t>
      </w:r>
      <w:r w:rsidR="00F10A9D">
        <w:rPr>
          <w:sz w:val="24"/>
          <w:szCs w:val="24"/>
        </w:rPr>
        <w:br/>
      </w:r>
      <w:r w:rsidR="0059565E" w:rsidRPr="00D64465">
        <w:rPr>
          <w:sz w:val="24"/>
          <w:szCs w:val="24"/>
        </w:rPr>
        <w:t>o płatniku lub odbiorcy, oraz procedur, które powinni wprowadzić w celu zarządzania transferem środków pieniężnych, w przypadku którego brakuje wymaganych informacji (JC/GL/2017/16)</w:t>
      </w:r>
      <w:r w:rsidR="0059565E" w:rsidRPr="00614887">
        <w:rPr>
          <w:sz w:val="24"/>
          <w:szCs w:val="24"/>
        </w:rPr>
        <w:t>, w tym wdrożenie skutecznych procedur pozwalających na wykrycie brakujących informacji</w:t>
      </w:r>
      <w:r w:rsidR="0059565E">
        <w:t xml:space="preserve"> </w:t>
      </w:r>
      <w:r w:rsidR="0059565E" w:rsidRPr="00E43664">
        <w:rPr>
          <w:sz w:val="24"/>
          <w:szCs w:val="24"/>
        </w:rPr>
        <w:t>o płatniku lub odbiorcy</w:t>
      </w:r>
      <w:r w:rsidR="0059565E" w:rsidRPr="00E43664">
        <w:rPr>
          <w:rStyle w:val="Odwoanieprzypisudolnego"/>
          <w:sz w:val="24"/>
          <w:szCs w:val="24"/>
        </w:rPr>
        <w:footnoteReference w:id="15"/>
      </w:r>
      <w:r w:rsidR="0059565E" w:rsidRPr="00E43664">
        <w:rPr>
          <w:sz w:val="24"/>
          <w:szCs w:val="24"/>
        </w:rPr>
        <w:t>.</w:t>
      </w:r>
      <w:r w:rsidR="00BF2920" w:rsidRPr="00E43664">
        <w:rPr>
          <w:sz w:val="24"/>
          <w:szCs w:val="24"/>
        </w:rPr>
        <w:t xml:space="preserve"> Rekomendacje dotyczące informacj</w:t>
      </w:r>
      <w:r w:rsidRPr="00E43664">
        <w:rPr>
          <w:sz w:val="24"/>
          <w:szCs w:val="24"/>
        </w:rPr>
        <w:t>i towarzyszących</w:t>
      </w:r>
      <w:r w:rsidR="00BF2920" w:rsidRPr="00E43664">
        <w:rPr>
          <w:sz w:val="24"/>
          <w:szCs w:val="24"/>
        </w:rPr>
        <w:t xml:space="preserve"> transferom</w:t>
      </w:r>
      <w:r w:rsidR="00BF2920" w:rsidRPr="00D64465">
        <w:rPr>
          <w:sz w:val="24"/>
          <w:szCs w:val="24"/>
        </w:rPr>
        <w:t xml:space="preserve"> środków pieniężnych zostały zawarte w </w:t>
      </w:r>
      <w:r w:rsidR="00BF2920" w:rsidRPr="00D64465">
        <w:rPr>
          <w:i/>
          <w:sz w:val="24"/>
          <w:szCs w:val="24"/>
        </w:rPr>
        <w:t>Stanowisku</w:t>
      </w:r>
      <w:r w:rsidR="009252C3" w:rsidRPr="00D64465">
        <w:rPr>
          <w:i/>
          <w:sz w:val="24"/>
          <w:szCs w:val="24"/>
        </w:rPr>
        <w:t xml:space="preserve"> </w:t>
      </w:r>
      <w:r w:rsidR="00D816C4" w:rsidRPr="00D64465">
        <w:rPr>
          <w:i/>
          <w:sz w:val="24"/>
          <w:szCs w:val="24"/>
        </w:rPr>
        <w:t>Urzędu Komisji Nadzoru Finansowego dotyczącym informacji towarzyszących</w:t>
      </w:r>
      <w:r w:rsidR="00CE6188">
        <w:rPr>
          <w:i/>
          <w:sz w:val="24"/>
          <w:szCs w:val="24"/>
        </w:rPr>
        <w:t xml:space="preserve"> transferom środków pieniężnych</w:t>
      </w:r>
      <w:r w:rsidR="00BF2920" w:rsidRPr="00D64465">
        <w:rPr>
          <w:rStyle w:val="Odwoanieprzypisudolnego"/>
          <w:sz w:val="24"/>
          <w:szCs w:val="24"/>
        </w:rPr>
        <w:footnoteReference w:id="16"/>
      </w:r>
      <w:r w:rsidR="00C37F27">
        <w:rPr>
          <w:sz w:val="24"/>
          <w:szCs w:val="24"/>
        </w:rPr>
        <w:t>z dnia 8 listopada 2022 r</w:t>
      </w:r>
      <w:r w:rsidR="00CE6188">
        <w:rPr>
          <w:i/>
          <w:sz w:val="24"/>
          <w:szCs w:val="24"/>
        </w:rPr>
        <w:t>.</w:t>
      </w:r>
      <w:r w:rsidR="00576D04" w:rsidRPr="00D64465">
        <w:rPr>
          <w:sz w:val="24"/>
          <w:szCs w:val="24"/>
        </w:rPr>
        <w:t xml:space="preserve"> </w:t>
      </w:r>
    </w:p>
    <w:p w14:paraId="41B26412" w14:textId="3E69EDA1" w:rsidR="006860E0" w:rsidRDefault="006860E0" w:rsidP="006E5D99">
      <w:pPr>
        <w:pStyle w:val="Akapitzlist"/>
        <w:numPr>
          <w:ilvl w:val="0"/>
          <w:numId w:val="11"/>
        </w:numPr>
        <w:spacing w:before="120" w:after="120"/>
        <w:ind w:left="700"/>
      </w:pPr>
      <w:r w:rsidRPr="006B4B45">
        <w:rPr>
          <w:u w:val="single"/>
        </w:rPr>
        <w:t xml:space="preserve">Wskazanie </w:t>
      </w:r>
      <w:r w:rsidR="00E8796D" w:rsidRPr="006B4B45">
        <w:rPr>
          <w:u w:val="single"/>
        </w:rPr>
        <w:t>działań podejmowanych</w:t>
      </w:r>
      <w:r w:rsidR="009D5134" w:rsidRPr="006B4B45">
        <w:rPr>
          <w:u w:val="single"/>
        </w:rPr>
        <w:t>,</w:t>
      </w:r>
      <w:r w:rsidR="00E8796D" w:rsidRPr="006B4B45">
        <w:rPr>
          <w:u w:val="single"/>
        </w:rPr>
        <w:t xml:space="preserve"> </w:t>
      </w:r>
      <w:r w:rsidRPr="006B4B45">
        <w:rPr>
          <w:u w:val="single"/>
        </w:rPr>
        <w:t xml:space="preserve">w </w:t>
      </w:r>
      <w:r w:rsidR="00E8796D" w:rsidRPr="006B4B45">
        <w:rPr>
          <w:u w:val="single"/>
        </w:rPr>
        <w:t>celu badania</w:t>
      </w:r>
      <w:r w:rsidRPr="006B4B45">
        <w:rPr>
          <w:u w:val="single"/>
        </w:rPr>
        <w:t xml:space="preserve"> ź</w:t>
      </w:r>
      <w:r w:rsidR="00E8796D" w:rsidRPr="006B4B45">
        <w:rPr>
          <w:u w:val="single"/>
        </w:rPr>
        <w:t>ródła pochodzeni</w:t>
      </w:r>
      <w:r w:rsidR="009D5134" w:rsidRPr="006B4B45">
        <w:rPr>
          <w:u w:val="single"/>
        </w:rPr>
        <w:t>a</w:t>
      </w:r>
      <w:r w:rsidR="00E8796D" w:rsidRPr="006B4B45">
        <w:rPr>
          <w:u w:val="single"/>
        </w:rPr>
        <w:t xml:space="preserve"> wartości majątkowych </w:t>
      </w:r>
      <w:r w:rsidR="001850F2" w:rsidRPr="006B4B45">
        <w:rPr>
          <w:u w:val="single"/>
        </w:rPr>
        <w:t>będących w dyspozycji klienta</w:t>
      </w:r>
      <w:r w:rsidR="001850F2">
        <w:t xml:space="preserve"> (np. uzyskanie informacji i dokumentów od klienta, identyfikacj</w:t>
      </w:r>
      <w:r w:rsidR="00CF5CED">
        <w:t>a</w:t>
      </w:r>
      <w:r w:rsidR="001850F2">
        <w:t xml:space="preserve"> instytucji z której środki przychodzą). </w:t>
      </w:r>
      <w:r w:rsidR="00C01A0A">
        <w:t>Z</w:t>
      </w:r>
      <w:r w:rsidR="00B1543D">
        <w:t>a stosowne rozwiązanie należy uznać</w:t>
      </w:r>
      <w:r w:rsidR="00C01A0A">
        <w:t xml:space="preserve"> podejmowanie</w:t>
      </w:r>
      <w:r w:rsidR="001850F2">
        <w:t xml:space="preserve"> przedmiotow</w:t>
      </w:r>
      <w:r w:rsidR="00C01A0A">
        <w:t>ych</w:t>
      </w:r>
      <w:r w:rsidR="001850F2">
        <w:t xml:space="preserve"> czynności w przypadku klientów zaklasyfikowanych do </w:t>
      </w:r>
      <w:r w:rsidR="001850F2" w:rsidRPr="00B62858">
        <w:t>wysokiej kategorii ryzyka</w:t>
      </w:r>
      <w:r w:rsidR="00E625AE">
        <w:t>, w tym zwłaszcza klient</w:t>
      </w:r>
      <w:r w:rsidR="00614887">
        <w:t>a</w:t>
      </w:r>
      <w:r w:rsidR="00E625AE">
        <w:t xml:space="preserve"> o statusie PEP</w:t>
      </w:r>
      <w:r w:rsidR="00614887">
        <w:t>,</w:t>
      </w:r>
      <w:r w:rsidR="001850F2">
        <w:t xml:space="preserve"> </w:t>
      </w:r>
      <w:r w:rsidR="009A76C6">
        <w:br/>
      </w:r>
      <w:r w:rsidR="001850F2">
        <w:t>w przypadku transakcji nietypowych dl</w:t>
      </w:r>
      <w:r w:rsidR="009C343B">
        <w:t>a danego klienta</w:t>
      </w:r>
      <w:r w:rsidR="00614887">
        <w:t xml:space="preserve"> oraz </w:t>
      </w:r>
      <w:r w:rsidR="007A5B56">
        <w:t>okoliczności świadcząc</w:t>
      </w:r>
      <w:r w:rsidR="00614887">
        <w:t>ych</w:t>
      </w:r>
      <w:r w:rsidR="007A5B56">
        <w:t xml:space="preserve"> </w:t>
      </w:r>
      <w:r w:rsidR="00F10A9D">
        <w:br/>
      </w:r>
      <w:r w:rsidR="007A5B56">
        <w:t xml:space="preserve">o podejrzeniu prania pieniędzy lub finansowania terroryzmu. </w:t>
      </w:r>
    </w:p>
    <w:p w14:paraId="73B5D79C" w14:textId="50AAA837" w:rsidR="00244BA2" w:rsidRDefault="009C343B" w:rsidP="006E5D99">
      <w:pPr>
        <w:pStyle w:val="Akapitzlist"/>
        <w:numPr>
          <w:ilvl w:val="0"/>
          <w:numId w:val="11"/>
        </w:numPr>
        <w:spacing w:after="120"/>
        <w:ind w:left="700"/>
      </w:pPr>
      <w:r w:rsidRPr="006B4B45">
        <w:rPr>
          <w:u w:val="single"/>
        </w:rPr>
        <w:lastRenderedPageBreak/>
        <w:t>D</w:t>
      </w:r>
      <w:r w:rsidR="00A522D5" w:rsidRPr="006B4B45">
        <w:rPr>
          <w:u w:val="single"/>
        </w:rPr>
        <w:t>ziała</w:t>
      </w:r>
      <w:r w:rsidRPr="006B4B45">
        <w:rPr>
          <w:u w:val="single"/>
        </w:rPr>
        <w:t>nia</w:t>
      </w:r>
      <w:r w:rsidR="00A522D5" w:rsidRPr="006B4B45">
        <w:rPr>
          <w:u w:val="single"/>
        </w:rPr>
        <w:t xml:space="preserve"> podejmowan</w:t>
      </w:r>
      <w:r w:rsidRPr="006B4B45">
        <w:rPr>
          <w:u w:val="single"/>
        </w:rPr>
        <w:t>e</w:t>
      </w:r>
      <w:r w:rsidR="00A522D5" w:rsidRPr="006B4B45">
        <w:rPr>
          <w:u w:val="single"/>
        </w:rPr>
        <w:t xml:space="preserve"> celem zapewnienia, że posiadane dane oraz informacje o kliencie są aktualne</w:t>
      </w:r>
      <w:r w:rsidR="008A1D55" w:rsidRPr="006B4B45">
        <w:rPr>
          <w:u w:val="single"/>
        </w:rPr>
        <w:t>.</w:t>
      </w:r>
      <w:r w:rsidR="0056250E">
        <w:t xml:space="preserve"> </w:t>
      </w:r>
      <w:r w:rsidR="00C01A0A">
        <w:t xml:space="preserve">W ramach tego procesu KIP powinna </w:t>
      </w:r>
      <w:r w:rsidR="00C36720">
        <w:t xml:space="preserve">wprowadzić periodyczne przeglądy informacji o </w:t>
      </w:r>
      <w:r w:rsidR="006079B1">
        <w:t>kliencie</w:t>
      </w:r>
      <w:r w:rsidR="00C36720">
        <w:t xml:space="preserve"> uzależnione od poziomu ryzyka przez niego generowanego</w:t>
      </w:r>
      <w:r w:rsidR="0056250E">
        <w:t>.</w:t>
      </w:r>
      <w:r w:rsidR="008A1D55">
        <w:t xml:space="preserve"> </w:t>
      </w:r>
      <w:r w:rsidR="00E157C6">
        <w:br/>
      </w:r>
      <w:r w:rsidR="008A1D55">
        <w:t>W przypadku osób fizycznych powinna być monito</w:t>
      </w:r>
      <w:r w:rsidR="00244BA2">
        <w:t>rowana</w:t>
      </w:r>
      <w:r w:rsidR="008A1D55">
        <w:t xml:space="preserve"> data </w:t>
      </w:r>
      <w:r w:rsidR="00244BA2">
        <w:t>ważności dokumentu tożsamości.</w:t>
      </w:r>
      <w:r w:rsidR="008C6FA8">
        <w:t xml:space="preserve"> </w:t>
      </w:r>
      <w:r w:rsidR="005D7139">
        <w:t xml:space="preserve">Ustawa </w:t>
      </w:r>
      <w:r w:rsidR="00DB3734">
        <w:t xml:space="preserve">AML </w:t>
      </w:r>
      <w:r w:rsidR="005D7139">
        <w:t xml:space="preserve">nakazuje </w:t>
      </w:r>
      <w:r w:rsidR="005D7139" w:rsidRPr="006B4B45">
        <w:rPr>
          <w:b/>
        </w:rPr>
        <w:t>aktywne podejmowanie działań</w:t>
      </w:r>
      <w:r w:rsidR="005D7139">
        <w:t xml:space="preserve"> mających na celu realizację przedmiotowego środka bezpieczeństwa finansowego. W związku z tym nie jest wystarczające zawarcie w regulacjach wewnętrznych </w:t>
      </w:r>
      <w:r w:rsidR="008E7697">
        <w:t xml:space="preserve">postanowień </w:t>
      </w:r>
      <w:r w:rsidR="005D7139">
        <w:t xml:space="preserve">nakazujących klientowi informowanie o każdej zmianie danych. W odniesieniu do klientów </w:t>
      </w:r>
      <w:r w:rsidR="00E157C6">
        <w:t>wysokiego</w:t>
      </w:r>
      <w:r w:rsidR="005D7139">
        <w:t xml:space="preserve"> ryzyka proces ten powinien być bardziej </w:t>
      </w:r>
      <w:r w:rsidR="000578F0">
        <w:t xml:space="preserve">szczegółowy </w:t>
      </w:r>
      <w:r w:rsidR="005D7139">
        <w:t xml:space="preserve">i zindywidualizowany </w:t>
      </w:r>
      <w:r w:rsidR="003B28C3">
        <w:t xml:space="preserve">oraz </w:t>
      </w:r>
      <w:r w:rsidR="005D7139">
        <w:t>nakierowany na weryfikację wszystkich informacji o kliencie mających wpływ na ocenę ryzyka.</w:t>
      </w:r>
    </w:p>
    <w:p w14:paraId="221D6A0B" w14:textId="77777777" w:rsidR="00244BA2" w:rsidRDefault="00244BA2" w:rsidP="006E5D99">
      <w:pPr>
        <w:pStyle w:val="Akapitzlist"/>
        <w:numPr>
          <w:ilvl w:val="0"/>
          <w:numId w:val="11"/>
        </w:numPr>
        <w:spacing w:after="120"/>
        <w:ind w:left="700"/>
      </w:pPr>
      <w:r w:rsidRPr="006B4B45">
        <w:rPr>
          <w:u w:val="single"/>
        </w:rPr>
        <w:t>Spos</w:t>
      </w:r>
      <w:r w:rsidR="009C343B" w:rsidRPr="006B4B45">
        <w:rPr>
          <w:u w:val="single"/>
        </w:rPr>
        <w:t>ób</w:t>
      </w:r>
      <w:r w:rsidRPr="006B4B45">
        <w:rPr>
          <w:u w:val="single"/>
        </w:rPr>
        <w:t xml:space="preserve"> identyfikowania osób upoważnionych do działania w imieniu klienta oraz weryfikacji ich tożsamości</w:t>
      </w:r>
      <w:r w:rsidR="00E01BDD">
        <w:t>, w tym weryfikacja</w:t>
      </w:r>
      <w:r>
        <w:t xml:space="preserve"> prawidłowoś</w:t>
      </w:r>
      <w:r w:rsidR="00E01BDD">
        <w:t>ci</w:t>
      </w:r>
      <w:r>
        <w:t xml:space="preserve"> umocowania</w:t>
      </w:r>
      <w:r w:rsidR="009C343B">
        <w:t xml:space="preserve"> do działania w imieniu klienta</w:t>
      </w:r>
      <w:r w:rsidR="00E01BDD">
        <w:t xml:space="preserve"> pod kątem</w:t>
      </w:r>
      <w:r w:rsidR="001B6282">
        <w:t>,</w:t>
      </w:r>
      <w:r w:rsidR="00E01BDD">
        <w:t xml:space="preserve"> czy jest to dokument wiarygodny, czy zakres upoważnienia uprawnia do wykonywania określonych czynności etc</w:t>
      </w:r>
      <w:r w:rsidR="00EE531B">
        <w:t>.</w:t>
      </w:r>
    </w:p>
    <w:p w14:paraId="5D79F0E6" w14:textId="248FBACF" w:rsidR="00F97093" w:rsidRDefault="00244BA2" w:rsidP="006E5D99">
      <w:pPr>
        <w:pStyle w:val="Akapitzlist"/>
        <w:numPr>
          <w:ilvl w:val="0"/>
          <w:numId w:val="11"/>
        </w:numPr>
        <w:spacing w:after="0"/>
        <w:ind w:left="700"/>
      </w:pPr>
      <w:r w:rsidRPr="006B4B45">
        <w:rPr>
          <w:u w:val="single"/>
        </w:rPr>
        <w:t>Spos</w:t>
      </w:r>
      <w:r w:rsidR="009C343B" w:rsidRPr="006B4B45">
        <w:rPr>
          <w:u w:val="single"/>
        </w:rPr>
        <w:t>ób</w:t>
      </w:r>
      <w:r w:rsidRPr="006B4B45">
        <w:rPr>
          <w:u w:val="single"/>
        </w:rPr>
        <w:t xml:space="preserve"> dokumentowania stosowania środków bezpieczeństwa finansowego oraz wyników analiz transakcji</w:t>
      </w:r>
      <w:r>
        <w:t xml:space="preserve">. Każda czynność </w:t>
      </w:r>
      <w:r w:rsidR="002B09FF">
        <w:t>po</w:t>
      </w:r>
      <w:r w:rsidR="003B28C3">
        <w:t>dj</w:t>
      </w:r>
      <w:r w:rsidR="002B09FF">
        <w:t xml:space="preserve">ęta </w:t>
      </w:r>
      <w:r>
        <w:t>w ramach realizacji środków bezpieczeństwa finansowego powinna być formalnie udokumentowana</w:t>
      </w:r>
      <w:r w:rsidR="005D7139">
        <w:t xml:space="preserve"> w formie papierowej czy też elektronicznej </w:t>
      </w:r>
      <w:r w:rsidR="001103E7">
        <w:t>pozwalającej na udowodnienie, że obowiązki ustawowe w tym zakresie zostały wykonane</w:t>
      </w:r>
      <w:r>
        <w:t xml:space="preserve">. </w:t>
      </w:r>
      <w:r w:rsidR="00840E4E">
        <w:t>W</w:t>
      </w:r>
      <w:r>
        <w:t>yniki analiz transakcji powinny w sposób jednoznaczny wskazywać</w:t>
      </w:r>
      <w:r w:rsidR="007E22EC">
        <w:t xml:space="preserve"> na powody uznania </w:t>
      </w:r>
      <w:r w:rsidR="001103E7">
        <w:t xml:space="preserve">danej </w:t>
      </w:r>
      <w:r w:rsidR="007E22EC">
        <w:t xml:space="preserve">transakcji </w:t>
      </w:r>
      <w:r w:rsidR="006079B1">
        <w:t>klienta</w:t>
      </w:r>
      <w:r w:rsidR="007E22EC">
        <w:t xml:space="preserve"> za </w:t>
      </w:r>
      <w:r w:rsidR="001103E7">
        <w:t xml:space="preserve">potencjalnie </w:t>
      </w:r>
      <w:r w:rsidR="007E22EC">
        <w:t>podejrzan</w:t>
      </w:r>
      <w:r w:rsidR="001103E7">
        <w:t>ą</w:t>
      </w:r>
      <w:r w:rsidR="007E22EC">
        <w:t xml:space="preserve"> </w:t>
      </w:r>
      <w:r w:rsidR="003A5E15">
        <w:t xml:space="preserve">lub </w:t>
      </w:r>
      <w:r w:rsidR="007E22EC">
        <w:t>nie.</w:t>
      </w:r>
    </w:p>
    <w:p w14:paraId="63346E0F" w14:textId="77777777" w:rsidR="000872E3" w:rsidRDefault="000872E3" w:rsidP="009C343B">
      <w:pPr>
        <w:spacing w:before="120"/>
        <w:ind w:left="340"/>
      </w:pPr>
    </w:p>
    <w:p w14:paraId="2A1B9DA5" w14:textId="39934E6D" w:rsidR="007E22EC" w:rsidRDefault="00FC003B" w:rsidP="009C343B">
      <w:pPr>
        <w:spacing w:before="120"/>
        <w:ind w:left="340"/>
      </w:pPr>
      <w:r>
        <w:t>KIP</w:t>
      </w:r>
      <w:r w:rsidR="007E22EC">
        <w:t xml:space="preserve"> na potrzeby stosowania środków bezpieczeństwa finansowego </w:t>
      </w:r>
      <w:r w:rsidR="007E22EC" w:rsidRPr="006B4B45">
        <w:rPr>
          <w:b/>
        </w:rPr>
        <w:t>może przetwarzać informacje</w:t>
      </w:r>
      <w:r w:rsidR="007E22EC">
        <w:t xml:space="preserve"> zawarte w dokumentach tożsamości </w:t>
      </w:r>
      <w:r w:rsidR="006079B1">
        <w:t>klienta</w:t>
      </w:r>
      <w:r w:rsidR="007E22EC">
        <w:t xml:space="preserve"> i osoby upoważnionej do działania </w:t>
      </w:r>
      <w:r w:rsidR="00F10A9D">
        <w:br/>
      </w:r>
      <w:r w:rsidR="007E22EC">
        <w:t xml:space="preserve">w jego imieniu oraz sporządzać ich kopie, przy czym </w:t>
      </w:r>
      <w:r>
        <w:t>KIP</w:t>
      </w:r>
      <w:r w:rsidR="00122A78">
        <w:t xml:space="preserve"> </w:t>
      </w:r>
      <w:r w:rsidR="007E22EC">
        <w:t xml:space="preserve">ma obowiązek </w:t>
      </w:r>
      <w:r w:rsidR="007E22EC" w:rsidRPr="006B4B45">
        <w:rPr>
          <w:b/>
        </w:rPr>
        <w:t xml:space="preserve">poinformować </w:t>
      </w:r>
      <w:r w:rsidR="006079B1">
        <w:rPr>
          <w:b/>
        </w:rPr>
        <w:t>klienta</w:t>
      </w:r>
      <w:r w:rsidR="007E22EC">
        <w:t xml:space="preserve"> o powyższym</w:t>
      </w:r>
      <w:r w:rsidR="00C83E20">
        <w:t>,</w:t>
      </w:r>
      <w:r w:rsidR="005F7C2E">
        <w:t xml:space="preserve"> zarówno przed nawiązaniem relacji, jak i przed przeprowadzeniem transakcji okazjonalnej</w:t>
      </w:r>
      <w:r w:rsidR="007E22EC">
        <w:t>.</w:t>
      </w:r>
      <w:r w:rsidR="00F97093">
        <w:t xml:space="preserve"> KNF przypomina o obowiązku przestrzegania przepisów dotyczących ochrony danych osobowych obowiązujących w Polsce jak i w Unii Europejskiej</w:t>
      </w:r>
      <w:r w:rsidR="00F245A3">
        <w:t xml:space="preserve"> zgodnie </w:t>
      </w:r>
      <w:r w:rsidR="00F10A9D">
        <w:br/>
      </w:r>
      <w:r w:rsidR="00F245A3">
        <w:t xml:space="preserve">z rozporządzeniem Parlamentu Europejskiego i Rady (UE) 2016/679 z 27 kwietnia 2016 r. </w:t>
      </w:r>
      <w:r w:rsidR="00F10A9D">
        <w:br/>
      </w:r>
      <w:r w:rsidR="00F245A3" w:rsidRPr="009A76C6">
        <w:rPr>
          <w:i/>
        </w:rPr>
        <w:t xml:space="preserve">w sprawie ochrony osób fizycznych w związku z przetwarzaniem danych  </w:t>
      </w:r>
      <w:r w:rsidR="002C2A1D" w:rsidRPr="009A76C6">
        <w:rPr>
          <w:i/>
        </w:rPr>
        <w:t xml:space="preserve">osobowych </w:t>
      </w:r>
      <w:r w:rsidR="00F245A3" w:rsidRPr="009A76C6">
        <w:rPr>
          <w:i/>
        </w:rPr>
        <w:t>i</w:t>
      </w:r>
      <w:r w:rsidR="002C2A1D" w:rsidRPr="009A76C6">
        <w:rPr>
          <w:i/>
        </w:rPr>
        <w:t xml:space="preserve"> w sprawie swobodnego przepływu takich danych oraz uchylenia dyrektywy 95/46/WE</w:t>
      </w:r>
      <w:r w:rsidR="00F3605F" w:rsidRPr="009A76C6">
        <w:rPr>
          <w:i/>
        </w:rPr>
        <w:t xml:space="preserve"> (ogólne rozporządzenie o ochronie danych)</w:t>
      </w:r>
      <w:r w:rsidR="00F3605F">
        <w:t xml:space="preserve"> </w:t>
      </w:r>
      <w:r w:rsidR="002C2A1D">
        <w:t>(Dz.Urz. UE L119, s.1)</w:t>
      </w:r>
      <w:r w:rsidR="00F3605F">
        <w:rPr>
          <w:rStyle w:val="Odwoanieprzypisudolnego"/>
        </w:rPr>
        <w:footnoteReference w:id="17"/>
      </w:r>
      <w:r w:rsidR="00F97093">
        <w:t xml:space="preserve">. </w:t>
      </w:r>
    </w:p>
    <w:p w14:paraId="007B809D" w14:textId="77777777" w:rsidR="00730060" w:rsidRDefault="00730060" w:rsidP="009C343B">
      <w:pPr>
        <w:spacing w:before="120"/>
        <w:ind w:left="340"/>
      </w:pPr>
      <w:r>
        <w:t xml:space="preserve">Przesłanki do stosowania środków bezpieczeństwa finansowego zostały wskazane w art. 35 </w:t>
      </w:r>
      <w:r w:rsidR="00EE531B">
        <w:t>u</w:t>
      </w:r>
      <w:r>
        <w:t>stawy</w:t>
      </w:r>
      <w:r w:rsidR="00EE531B">
        <w:t xml:space="preserve"> AML</w:t>
      </w:r>
      <w:r>
        <w:t>.</w:t>
      </w:r>
    </w:p>
    <w:p w14:paraId="1D01A6F5" w14:textId="1A507671" w:rsidR="0013044D" w:rsidRDefault="00AB7C1E" w:rsidP="009C343B">
      <w:pPr>
        <w:spacing w:before="120"/>
        <w:ind w:left="340"/>
      </w:pPr>
      <w:r>
        <w:t xml:space="preserve">Ponadto </w:t>
      </w:r>
      <w:r w:rsidR="000578F0">
        <w:t>a</w:t>
      </w:r>
      <w:r w:rsidR="0013044D">
        <w:t xml:space="preserve">rt. 41 </w:t>
      </w:r>
      <w:r w:rsidR="00EE531B">
        <w:t>u</w:t>
      </w:r>
      <w:r w:rsidR="0013044D">
        <w:t xml:space="preserve">stawy </w:t>
      </w:r>
      <w:r w:rsidR="00EE531B">
        <w:t xml:space="preserve">AML </w:t>
      </w:r>
      <w:r w:rsidR="0013044D">
        <w:t xml:space="preserve">nakłada na </w:t>
      </w:r>
      <w:r w:rsidR="00B65527">
        <w:t>IO</w:t>
      </w:r>
      <w:r w:rsidR="0013044D">
        <w:t xml:space="preserve"> </w:t>
      </w:r>
      <w:r w:rsidR="0013044D" w:rsidRPr="006B4B45">
        <w:rPr>
          <w:b/>
        </w:rPr>
        <w:t xml:space="preserve">obowiązek podjęcia określonych działań </w:t>
      </w:r>
      <w:r w:rsidR="00F10A9D">
        <w:rPr>
          <w:b/>
        </w:rPr>
        <w:br/>
      </w:r>
      <w:r w:rsidR="0013044D" w:rsidRPr="006B4B45">
        <w:rPr>
          <w:b/>
        </w:rPr>
        <w:t>w przypadku niemożności wykonania któregokolwiek ze środków bezpieczeństwa finansowego</w:t>
      </w:r>
      <w:r w:rsidR="0013044D">
        <w:t>. W praktyce</w:t>
      </w:r>
      <w:r w:rsidR="00C97F41">
        <w:t>,</w:t>
      </w:r>
      <w:r w:rsidR="0013044D">
        <w:t xml:space="preserve"> w przypadku braku możliwości wykonania jednego dowolnego</w:t>
      </w:r>
      <w:r w:rsidR="00B65527">
        <w:t xml:space="preserve"> środka</w:t>
      </w:r>
      <w:r w:rsidR="0013044D">
        <w:t xml:space="preserve"> ze środków bezpieczeństwa finansowego</w:t>
      </w:r>
      <w:r w:rsidR="00C83E20">
        <w:t>,</w:t>
      </w:r>
      <w:r w:rsidR="0013044D">
        <w:t xml:space="preserve"> </w:t>
      </w:r>
      <w:r w:rsidR="00FC003B">
        <w:t>KIP</w:t>
      </w:r>
      <w:r w:rsidR="0013044D">
        <w:t xml:space="preserve"> powinna podjąć </w:t>
      </w:r>
      <w:r w:rsidR="00FD454A">
        <w:t>działania</w:t>
      </w:r>
      <w:r w:rsidR="0013044D">
        <w:t xml:space="preserve"> wskazan</w:t>
      </w:r>
      <w:r w:rsidR="00B65527">
        <w:t>e</w:t>
      </w:r>
      <w:r w:rsidR="0013044D">
        <w:t xml:space="preserve"> w art. 41 ust. 1 </w:t>
      </w:r>
      <w:r w:rsidR="00EE531B">
        <w:t>u</w:t>
      </w:r>
      <w:r w:rsidR="0013044D">
        <w:t>stawy</w:t>
      </w:r>
      <w:r w:rsidR="00EE531B">
        <w:t xml:space="preserve"> AML</w:t>
      </w:r>
      <w:r w:rsidR="0013044D">
        <w:t xml:space="preserve">. Wytyczne w tym zakresie zostały </w:t>
      </w:r>
      <w:r w:rsidR="00122A78">
        <w:t>określone</w:t>
      </w:r>
      <w:r w:rsidR="0013044D">
        <w:t xml:space="preserve"> w Komunikacie GIIF nr 45 </w:t>
      </w:r>
      <w:r w:rsidR="0013044D" w:rsidRPr="00C647EB">
        <w:rPr>
          <w:i/>
        </w:rPr>
        <w:t xml:space="preserve">w sprawie oceniania informacji uzyskiwanych o klientach przez instytucje obowiązane i działań </w:t>
      </w:r>
      <w:r w:rsidR="00C647EB" w:rsidRPr="00C647EB">
        <w:rPr>
          <w:i/>
        </w:rPr>
        <w:lastRenderedPageBreak/>
        <w:t>w przypadku braku możliwości zastosowania środków bezpieczeństwa finansowego</w:t>
      </w:r>
      <w:r w:rsidR="0062344A">
        <w:rPr>
          <w:rStyle w:val="Odwoanieprzypisudolnego"/>
        </w:rPr>
        <w:footnoteReference w:id="18"/>
      </w:r>
      <w:r w:rsidR="00B65527">
        <w:rPr>
          <w:i/>
        </w:rPr>
        <w:t>.</w:t>
      </w:r>
      <w:r w:rsidR="00AD5EEB">
        <w:t xml:space="preserve"> </w:t>
      </w:r>
      <w:r w:rsidR="00F10A9D">
        <w:br/>
      </w:r>
      <w:r w:rsidR="00AD5EEB">
        <w:t>W przypadku wystąpienia okoliczności wskazanych w art. 74</w:t>
      </w:r>
      <w:r w:rsidR="00955F4D">
        <w:t>,</w:t>
      </w:r>
      <w:r w:rsidR="00AD5EEB">
        <w:t xml:space="preserve"> art. 86</w:t>
      </w:r>
      <w:r w:rsidR="00955F4D">
        <w:t xml:space="preserve"> lub art. 90</w:t>
      </w:r>
      <w:r w:rsidR="00AD5EEB">
        <w:t xml:space="preserve"> </w:t>
      </w:r>
      <w:r w:rsidR="000578F0">
        <w:t>u</w:t>
      </w:r>
      <w:r w:rsidR="00AD5EEB">
        <w:t>stawy</w:t>
      </w:r>
      <w:r w:rsidR="000578F0">
        <w:t xml:space="preserve"> AML</w:t>
      </w:r>
      <w:r w:rsidR="00B65527">
        <w:t>,</w:t>
      </w:r>
      <w:r w:rsidR="00AD5EEB">
        <w:t xml:space="preserve"> </w:t>
      </w:r>
      <w:r w:rsidR="00FC003B">
        <w:t xml:space="preserve">KIP </w:t>
      </w:r>
      <w:r w:rsidR="00AD5EEB">
        <w:t>powinna skierować zawiadomienie do GIIF.</w:t>
      </w:r>
    </w:p>
    <w:p w14:paraId="636EC704" w14:textId="52CE1CAA" w:rsidR="00DC6D39" w:rsidRDefault="00DC6D39" w:rsidP="009C343B">
      <w:pPr>
        <w:spacing w:before="120"/>
        <w:ind w:left="340"/>
      </w:pPr>
      <w:r>
        <w:t xml:space="preserve">W </w:t>
      </w:r>
      <w:r w:rsidR="005E2901" w:rsidRPr="005E2901">
        <w:rPr>
          <w:i/>
        </w:rPr>
        <w:t>P</w:t>
      </w:r>
      <w:r w:rsidRPr="005E2901">
        <w:rPr>
          <w:i/>
        </w:rPr>
        <w:t>rocedurze</w:t>
      </w:r>
      <w:r>
        <w:t xml:space="preserve"> należy uwzględnić postanowienia art. 47 </w:t>
      </w:r>
      <w:r w:rsidR="00EE531B">
        <w:t>u</w:t>
      </w:r>
      <w:r>
        <w:t>stawy</w:t>
      </w:r>
      <w:r w:rsidR="00EE531B">
        <w:t xml:space="preserve"> AML</w:t>
      </w:r>
      <w:r>
        <w:t xml:space="preserve">, </w:t>
      </w:r>
      <w:r w:rsidRPr="006B4B45">
        <w:rPr>
          <w:b/>
        </w:rPr>
        <w:t>w przypadku korzystania przez IO z usług podmiotu trzeciego przy stosowaniu środków bezpieczeństwa finansowego</w:t>
      </w:r>
      <w:r>
        <w:t xml:space="preserve"> oraz art. 48 </w:t>
      </w:r>
      <w:r w:rsidR="00EE531B">
        <w:t>u</w:t>
      </w:r>
      <w:r>
        <w:t xml:space="preserve">stawy </w:t>
      </w:r>
      <w:r w:rsidR="00EE531B">
        <w:t>AML</w:t>
      </w:r>
      <w:r w:rsidR="00B65527">
        <w:t>,</w:t>
      </w:r>
      <w:r w:rsidR="00EE531B">
        <w:t xml:space="preserve"> </w:t>
      </w:r>
      <w:r>
        <w:t xml:space="preserve">w przypadku </w:t>
      </w:r>
      <w:r w:rsidRPr="006B4B45">
        <w:rPr>
          <w:b/>
        </w:rPr>
        <w:t>powierzenia</w:t>
      </w:r>
      <w:r>
        <w:t xml:space="preserve"> stosowania środków bezpieczeństwa finansowego </w:t>
      </w:r>
      <w:r w:rsidRPr="006B4B45">
        <w:rPr>
          <w:b/>
        </w:rPr>
        <w:t>innemu podmiotowi działającego w imieniu i na rzecz IO</w:t>
      </w:r>
      <w:r w:rsidR="00CF5CED">
        <w:rPr>
          <w:b/>
        </w:rPr>
        <w:t xml:space="preserve"> </w:t>
      </w:r>
      <w:r w:rsidR="00CF5CED" w:rsidRPr="004F4FAB">
        <w:t>(np. za pośrednictwem sieci agencyjnej)</w:t>
      </w:r>
      <w:r>
        <w:t>.</w:t>
      </w:r>
      <w:r w:rsidR="00B745AC">
        <w:t xml:space="preserve"> KNF oczekuje</w:t>
      </w:r>
      <w:r w:rsidR="00C83E20">
        <w:t xml:space="preserve">, że </w:t>
      </w:r>
      <w:r w:rsidR="00C83E20" w:rsidRPr="006B4B45">
        <w:rPr>
          <w:i/>
        </w:rPr>
        <w:t>Procedura</w:t>
      </w:r>
      <w:r w:rsidR="00C83E20">
        <w:t xml:space="preserve"> będzie zawierała</w:t>
      </w:r>
      <w:r w:rsidR="00B745AC">
        <w:t xml:space="preserve"> szczegółow</w:t>
      </w:r>
      <w:r w:rsidR="00C83E20">
        <w:t>e</w:t>
      </w:r>
      <w:r w:rsidR="00B745AC">
        <w:t xml:space="preserve"> informacj</w:t>
      </w:r>
      <w:r w:rsidR="00C83E20">
        <w:t>e</w:t>
      </w:r>
      <w:r w:rsidR="00B745AC">
        <w:t xml:space="preserve"> w celu potwierdzenia, że proces jest właściwie zorganizowany i kontrolowany przez </w:t>
      </w:r>
      <w:r w:rsidR="00FC003B">
        <w:t>KIP</w:t>
      </w:r>
      <w:r w:rsidR="00B745AC">
        <w:t xml:space="preserve">, gdyż odpowiedzialność </w:t>
      </w:r>
      <w:r w:rsidR="00CA1A91">
        <w:t xml:space="preserve">za stosowanie środków bezpieczeństwa finansowego </w:t>
      </w:r>
      <w:r w:rsidR="00C83E20">
        <w:t xml:space="preserve">obciąża </w:t>
      </w:r>
      <w:r w:rsidR="00FC003B">
        <w:t>KIP</w:t>
      </w:r>
      <w:r w:rsidR="000578F0">
        <w:t>.</w:t>
      </w:r>
    </w:p>
    <w:p w14:paraId="2BD5CAC5" w14:textId="77777777" w:rsidR="00B819B0" w:rsidRPr="00CE41C6" w:rsidRDefault="00B819B0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 w:rsidRPr="00CE41C6">
        <w:rPr>
          <w:b/>
        </w:rPr>
        <w:t>zasad przechowywania dokumentów oraz informacji;</w:t>
      </w:r>
    </w:p>
    <w:p w14:paraId="43D0AF59" w14:textId="0A94523B" w:rsidR="00AA5814" w:rsidRPr="00583166" w:rsidRDefault="007B268B" w:rsidP="00451F3C">
      <w:pPr>
        <w:spacing w:before="120"/>
        <w:ind w:left="340"/>
      </w:pPr>
      <w:r w:rsidRPr="00583166">
        <w:rPr>
          <w:i/>
        </w:rPr>
        <w:t>Procedura</w:t>
      </w:r>
      <w:r w:rsidRPr="00583166">
        <w:t xml:space="preserve"> powinna określać </w:t>
      </w:r>
      <w:r w:rsidR="00D8455D" w:rsidRPr="00583166">
        <w:t>zakres, sposób i długość przechowywania informacji i dokumentów</w:t>
      </w:r>
      <w:r w:rsidRPr="00193F32">
        <w:t xml:space="preserve"> związan</w:t>
      </w:r>
      <w:r w:rsidR="00D8455D" w:rsidRPr="00DE7AA0">
        <w:t>ych</w:t>
      </w:r>
      <w:r w:rsidRPr="00DE7AA0">
        <w:t xml:space="preserve"> z procesem </w:t>
      </w:r>
      <w:r w:rsidR="000B36A9" w:rsidRPr="00DE7AA0">
        <w:t>A</w:t>
      </w:r>
      <w:r w:rsidR="006A63D3" w:rsidRPr="00DE7AA0">
        <w:t>ML/</w:t>
      </w:r>
      <w:r w:rsidR="000B36A9" w:rsidRPr="003B7773">
        <w:t>C</w:t>
      </w:r>
      <w:r w:rsidR="006A63D3" w:rsidRPr="00085D7D">
        <w:t>FT</w:t>
      </w:r>
      <w:r w:rsidRPr="00085D7D">
        <w:t xml:space="preserve">. </w:t>
      </w:r>
      <w:r w:rsidR="00AA5814" w:rsidRPr="008E7697">
        <w:t xml:space="preserve">Zgodnie z postanowieniami art. 49 </w:t>
      </w:r>
      <w:r w:rsidR="00EE531B" w:rsidRPr="008E7697">
        <w:t>u</w:t>
      </w:r>
      <w:r w:rsidR="00AA5814" w:rsidRPr="008E7697">
        <w:t>stawy</w:t>
      </w:r>
      <w:r w:rsidR="00EE531B" w:rsidRPr="008E7697">
        <w:t xml:space="preserve"> AML</w:t>
      </w:r>
      <w:r w:rsidR="006A63D3" w:rsidRPr="008E7697">
        <w:t>, IO</w:t>
      </w:r>
      <w:r w:rsidR="00AA5814" w:rsidRPr="00C83E20">
        <w:t xml:space="preserve"> zobowiązane są do przechowywania przez okres </w:t>
      </w:r>
      <w:r w:rsidR="00AA5814" w:rsidRPr="006B4B45">
        <w:rPr>
          <w:b/>
        </w:rPr>
        <w:t>5 lat</w:t>
      </w:r>
      <w:r w:rsidR="00583166" w:rsidRPr="006B4B45">
        <w:t>:</w:t>
      </w:r>
    </w:p>
    <w:p w14:paraId="37E3C39F" w14:textId="23215FEF" w:rsidR="00AA5814" w:rsidRPr="00BC678A" w:rsidRDefault="00AA5814" w:rsidP="006E5D99">
      <w:pPr>
        <w:pStyle w:val="Akapitzlist"/>
        <w:numPr>
          <w:ilvl w:val="0"/>
          <w:numId w:val="1"/>
        </w:numPr>
        <w:spacing w:after="0"/>
        <w:ind w:left="680" w:hanging="357"/>
      </w:pPr>
      <w:r w:rsidRPr="00BC678A">
        <w:t xml:space="preserve">kopii dokumentów i informacji uzyskanych w wyniku stosowania środków bezpieczeństwa finansowego, w tym informacji uzyskanych za pomocą środków identyfikacji elektronicznej oraz usług zaufania umożliwiających identyfikację elektroniczną w rozumieniu rozporządzenia </w:t>
      </w:r>
      <w:r w:rsidR="00E157C6">
        <w:t xml:space="preserve">Parlamentu Europejskiego i Rady (UE) </w:t>
      </w:r>
      <w:r w:rsidRPr="00BC678A">
        <w:t>910/2014</w:t>
      </w:r>
      <w:r w:rsidR="00E157C6">
        <w:t xml:space="preserve"> z dnia 23 lipca 2014 r, </w:t>
      </w:r>
      <w:r w:rsidR="00E157C6" w:rsidRPr="000F61E2">
        <w:rPr>
          <w:i/>
        </w:rPr>
        <w:t>w sprawie identyfikacji elektron</w:t>
      </w:r>
      <w:r w:rsidR="000F61E2" w:rsidRPr="000F61E2">
        <w:rPr>
          <w:i/>
        </w:rPr>
        <w:t>i</w:t>
      </w:r>
      <w:r w:rsidR="00E157C6" w:rsidRPr="000F61E2">
        <w:rPr>
          <w:i/>
        </w:rPr>
        <w:t xml:space="preserve">cznej i usług zaufania w odniesieniu do transakcji elektronicznych </w:t>
      </w:r>
      <w:r w:rsidR="000F61E2" w:rsidRPr="000F61E2">
        <w:rPr>
          <w:i/>
        </w:rPr>
        <w:t>na rynku wewnętrznym oraz uchylające dyrektywę 1999/93/WE</w:t>
      </w:r>
      <w:r w:rsidR="00C83E20">
        <w:t>,</w:t>
      </w:r>
      <w:r>
        <w:t xml:space="preserve"> licząc od dnia zakończenia stosunków gospodarczych z </w:t>
      </w:r>
      <w:r w:rsidR="001D5BF0">
        <w:t>klientem</w:t>
      </w:r>
      <w:r>
        <w:t xml:space="preserve"> lub od dnia przeprowadzenia transakcji okazjonalnej</w:t>
      </w:r>
      <w:r w:rsidR="00C97F41">
        <w:t>,</w:t>
      </w:r>
    </w:p>
    <w:p w14:paraId="37D47FE2" w14:textId="53E2CD83" w:rsidR="00AA5814" w:rsidRPr="00BC678A" w:rsidRDefault="00AA5814" w:rsidP="006E5D99">
      <w:pPr>
        <w:pStyle w:val="Akapitzlist"/>
        <w:numPr>
          <w:ilvl w:val="0"/>
          <w:numId w:val="1"/>
        </w:numPr>
        <w:spacing w:after="0"/>
        <w:ind w:left="680" w:hanging="357"/>
      </w:pPr>
      <w:r w:rsidRPr="00BC678A">
        <w:t>dowodów potwierdzających przeprowadzone transakcje i ewidencje transakcji (w oryginale lub kopii) konieczne do identyfikacji transakcji</w:t>
      </w:r>
      <w:r w:rsidR="00C83E20">
        <w:t>,</w:t>
      </w:r>
      <w:r>
        <w:t xml:space="preserve"> licząc od dnia zakończenia stosunków gospodarczych z klientem lub od dnia przeprow</w:t>
      </w:r>
      <w:r w:rsidR="00C97F41">
        <w:t>adzenia transakcji okazjonalnej,</w:t>
      </w:r>
    </w:p>
    <w:p w14:paraId="6E3AC1C3" w14:textId="7723622B" w:rsidR="00AA5814" w:rsidRDefault="00AA5814" w:rsidP="006E5D99">
      <w:pPr>
        <w:pStyle w:val="Podtytu"/>
        <w:numPr>
          <w:ilvl w:val="0"/>
          <w:numId w:val="2"/>
        </w:numPr>
        <w:spacing w:after="120"/>
        <w:ind w:left="680"/>
      </w:pPr>
      <w:r>
        <w:t>wynik</w:t>
      </w:r>
      <w:r w:rsidR="00C83E20">
        <w:t>ów</w:t>
      </w:r>
      <w:r>
        <w:t xml:space="preserve"> bieżących analiz przeprowadzonych transakcji, o których mowa w art. 34 ust. 3 </w:t>
      </w:r>
      <w:r w:rsidR="009F26C5">
        <w:t>u</w:t>
      </w:r>
      <w:r>
        <w:t>stawy</w:t>
      </w:r>
      <w:r w:rsidR="009F26C5">
        <w:t xml:space="preserve"> AML</w:t>
      </w:r>
      <w:r>
        <w:t xml:space="preserve">, przez </w:t>
      </w:r>
      <w:r w:rsidRPr="00D8455D">
        <w:t>okres 5 lat</w:t>
      </w:r>
      <w:r w:rsidRPr="00341761">
        <w:rPr>
          <w:b/>
        </w:rPr>
        <w:t>,</w:t>
      </w:r>
      <w:r>
        <w:t xml:space="preserve"> licząc od dnia ich przeprowadzenia.</w:t>
      </w:r>
    </w:p>
    <w:p w14:paraId="5F284CAD" w14:textId="77777777" w:rsidR="00AA5814" w:rsidRDefault="00AA5814" w:rsidP="00D8455D">
      <w:pPr>
        <w:spacing w:after="120"/>
        <w:ind w:left="340"/>
      </w:pPr>
      <w:r w:rsidRPr="00D8455D">
        <w:t>W szczególnych sytuacjach, GIIF może zażądać, przed upływem ww. terminów, przechowywania przedmiotowej dokumentacji przez kolejny okres nie dłuższy niż 5 lat,</w:t>
      </w:r>
      <w:r>
        <w:t xml:space="preserve"> licząc od dnia, w którym upływa okres ustawowy.</w:t>
      </w:r>
    </w:p>
    <w:p w14:paraId="281265FC" w14:textId="77777777" w:rsidR="00B819B0" w:rsidRPr="00CE41C6" w:rsidRDefault="00B819B0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 w:rsidRPr="00CE41C6">
        <w:rPr>
          <w:b/>
        </w:rPr>
        <w:t>zasad wykonywania obowiązków obejmujących przekazywanie GIIF informacji o</w:t>
      </w:r>
      <w:r w:rsidR="006A63D3">
        <w:rPr>
          <w:b/>
        </w:rPr>
        <w:t> </w:t>
      </w:r>
      <w:r w:rsidRPr="00CE41C6">
        <w:rPr>
          <w:b/>
        </w:rPr>
        <w:t>transakcjach oraz zawiadomieniach</w:t>
      </w:r>
      <w:r w:rsidR="003768BC">
        <w:rPr>
          <w:b/>
        </w:rPr>
        <w:t>;</w:t>
      </w:r>
    </w:p>
    <w:p w14:paraId="64DF45EB" w14:textId="77777777" w:rsidR="001C5F7B" w:rsidRDefault="002103ED" w:rsidP="000569B5">
      <w:pPr>
        <w:spacing w:before="120"/>
        <w:ind w:left="340"/>
      </w:pPr>
      <w:r>
        <w:t>Obowiązki informac</w:t>
      </w:r>
      <w:r w:rsidR="000B36A9">
        <w:t>y</w:t>
      </w:r>
      <w:r>
        <w:t>j</w:t>
      </w:r>
      <w:r w:rsidR="000B36A9">
        <w:t>n</w:t>
      </w:r>
      <w:r>
        <w:t>e związane z przekazywaniem i gromadzeniem infor</w:t>
      </w:r>
      <w:r w:rsidR="00EE531B">
        <w:t>macji reguluje Rozdział 7</w:t>
      </w:r>
      <w:r w:rsidR="00FD4714">
        <w:t xml:space="preserve">, natomiast wstrzymanie transakcji i blokowanie rachunku reguluje </w:t>
      </w:r>
      <w:r w:rsidR="00A72DCC">
        <w:t>Rozdział</w:t>
      </w:r>
      <w:r w:rsidR="00FD4714">
        <w:t xml:space="preserve"> </w:t>
      </w:r>
      <w:r w:rsidR="00EE531B">
        <w:t>8 u</w:t>
      </w:r>
      <w:r w:rsidR="009E5AA4">
        <w:t>stawy</w:t>
      </w:r>
      <w:r w:rsidR="00EE531B">
        <w:t xml:space="preserve"> AML</w:t>
      </w:r>
      <w:r>
        <w:t>.</w:t>
      </w:r>
    </w:p>
    <w:p w14:paraId="648A2C40" w14:textId="1BC8738A" w:rsidR="004A21A6" w:rsidRDefault="00A219CA" w:rsidP="000569B5">
      <w:pPr>
        <w:spacing w:before="120"/>
        <w:ind w:left="340"/>
      </w:pPr>
      <w:r>
        <w:t xml:space="preserve">KNF oczekuje, że </w:t>
      </w:r>
      <w:r w:rsidR="002103ED" w:rsidRPr="00D64465">
        <w:rPr>
          <w:i/>
        </w:rPr>
        <w:t>Procedura</w:t>
      </w:r>
      <w:r w:rsidR="002103ED">
        <w:t xml:space="preserve"> </w:t>
      </w:r>
      <w:r>
        <w:t>będzie</w:t>
      </w:r>
      <w:r w:rsidR="002103ED">
        <w:t xml:space="preserve"> określać</w:t>
      </w:r>
      <w:r w:rsidR="00583166">
        <w:t>:</w:t>
      </w:r>
    </w:p>
    <w:p w14:paraId="23D071F6" w14:textId="48945FF1" w:rsidR="004A21A6" w:rsidRDefault="009E5AA4" w:rsidP="006E5D99">
      <w:pPr>
        <w:pStyle w:val="Akapitzlist"/>
        <w:numPr>
          <w:ilvl w:val="0"/>
          <w:numId w:val="18"/>
        </w:numPr>
        <w:spacing w:after="0"/>
        <w:ind w:left="700"/>
      </w:pPr>
      <w:r>
        <w:t>sposób postępowania w przypadku zidentyfikowania transakcji</w:t>
      </w:r>
      <w:r w:rsidR="00583166">
        <w:t>,</w:t>
      </w:r>
      <w:r>
        <w:t xml:space="preserve"> o któr</w:t>
      </w:r>
      <w:r w:rsidR="004A21A6">
        <w:t>ych</w:t>
      </w:r>
      <w:r>
        <w:t xml:space="preserve"> mowa w art. 43 ust. 4 </w:t>
      </w:r>
      <w:r w:rsidR="00795804">
        <w:t>u</w:t>
      </w:r>
      <w:r>
        <w:t>stawy</w:t>
      </w:r>
      <w:r w:rsidR="000569B5">
        <w:t xml:space="preserve"> AML,</w:t>
      </w:r>
    </w:p>
    <w:p w14:paraId="0EB0B4A0" w14:textId="7EB998D0" w:rsidR="001C5F7B" w:rsidRPr="00794178" w:rsidRDefault="004A21A6" w:rsidP="006E5D99">
      <w:pPr>
        <w:pStyle w:val="Akapitzlist"/>
        <w:numPr>
          <w:ilvl w:val="0"/>
          <w:numId w:val="18"/>
        </w:numPr>
        <w:spacing w:after="0"/>
        <w:ind w:left="700"/>
      </w:pPr>
      <w:r>
        <w:lastRenderedPageBreak/>
        <w:t>zakres</w:t>
      </w:r>
      <w:r w:rsidR="00794178">
        <w:t xml:space="preserve"> i rodzaj</w:t>
      </w:r>
      <w:r>
        <w:t xml:space="preserve"> gromadzonych </w:t>
      </w:r>
      <w:r w:rsidR="004A3396">
        <w:t>informacj</w:t>
      </w:r>
      <w:r w:rsidR="006A63D3">
        <w:t>i</w:t>
      </w:r>
      <w:r>
        <w:t xml:space="preserve"> o transakcjach</w:t>
      </w:r>
      <w:r w:rsidR="004A3396">
        <w:t xml:space="preserve">, stosownie do oferowanych produktów i usług przez </w:t>
      </w:r>
      <w:r w:rsidR="00CF5CED">
        <w:t>KIP</w:t>
      </w:r>
      <w:r w:rsidR="00794178">
        <w:t xml:space="preserve"> oraz</w:t>
      </w:r>
      <w:r>
        <w:t xml:space="preserve"> p</w:t>
      </w:r>
      <w:r w:rsidR="006A63D3">
        <w:t>rzekazywan</w:t>
      </w:r>
      <w:r w:rsidR="00794178">
        <w:t>ie</w:t>
      </w:r>
      <w:r w:rsidR="006A63D3">
        <w:t xml:space="preserve"> </w:t>
      </w:r>
      <w:r>
        <w:t>ich do</w:t>
      </w:r>
      <w:r w:rsidR="006A63D3">
        <w:t xml:space="preserve"> </w:t>
      </w:r>
      <w:r w:rsidR="004A3396">
        <w:t>GIIF</w:t>
      </w:r>
      <w:r>
        <w:t xml:space="preserve"> w trybie art. 72 </w:t>
      </w:r>
      <w:r w:rsidR="00C83E20">
        <w:t xml:space="preserve"> </w:t>
      </w:r>
      <w:r w:rsidR="003519B2">
        <w:t>u</w:t>
      </w:r>
      <w:r>
        <w:t>stawy</w:t>
      </w:r>
      <w:r w:rsidR="00C83E20">
        <w:t xml:space="preserve"> AML</w:t>
      </w:r>
      <w:r w:rsidR="004A3396">
        <w:t xml:space="preserve">. </w:t>
      </w:r>
      <w:r w:rsidR="001C5F7B">
        <w:t xml:space="preserve">Ustawa </w:t>
      </w:r>
      <w:r w:rsidR="00795804">
        <w:t xml:space="preserve">AML </w:t>
      </w:r>
      <w:r w:rsidR="001C5F7B">
        <w:t xml:space="preserve">przewiduje termin </w:t>
      </w:r>
      <w:r w:rsidR="001C5F7B" w:rsidRPr="006B4B45">
        <w:rPr>
          <w:b/>
        </w:rPr>
        <w:t>7</w:t>
      </w:r>
      <w:r w:rsidR="001C5F7B">
        <w:t xml:space="preserve"> </w:t>
      </w:r>
      <w:r w:rsidR="001C5F7B" w:rsidRPr="006B4B45">
        <w:rPr>
          <w:b/>
        </w:rPr>
        <w:t>dni</w:t>
      </w:r>
      <w:r w:rsidR="001C5F7B">
        <w:t xml:space="preserve"> na </w:t>
      </w:r>
      <w:r w:rsidR="00ED373B">
        <w:t xml:space="preserve">ich </w:t>
      </w:r>
      <w:r w:rsidR="001C5F7B">
        <w:t xml:space="preserve">przekazanie </w:t>
      </w:r>
      <w:r w:rsidR="00ED373B">
        <w:t>od dnia wykonania czynności wskazanych w ust. 5 tego przepisu</w:t>
      </w:r>
      <w:r w:rsidR="004A3396">
        <w:t>.</w:t>
      </w:r>
      <w:r w:rsidR="00D310A2">
        <w:t xml:space="preserve"> </w:t>
      </w:r>
      <w:r>
        <w:t>Wytyczne w tym zakresie zostały wskazane w</w:t>
      </w:r>
      <w:r w:rsidR="003519B2">
        <w:t> </w:t>
      </w:r>
      <w:r>
        <w:t xml:space="preserve">Komunikacie GIIF nr 11 </w:t>
      </w:r>
      <w:r w:rsidRPr="00EE531B">
        <w:rPr>
          <w:i/>
        </w:rPr>
        <w:t>w sprawie raportowania do GIIF informacji o transakcjach ponadprogowych, o których mowa w art. 72</w:t>
      </w:r>
      <w:r w:rsidR="00A91417" w:rsidRPr="00EE531B">
        <w:rPr>
          <w:i/>
        </w:rPr>
        <w:t xml:space="preserve"> ust. 1 pkt 1</w:t>
      </w:r>
      <w:r w:rsidR="00ED373B">
        <w:rPr>
          <w:i/>
        </w:rPr>
        <w:t xml:space="preserve"> </w:t>
      </w:r>
      <w:r w:rsidR="00A91417" w:rsidRPr="00EE531B">
        <w:rPr>
          <w:i/>
        </w:rPr>
        <w:t>i 2 Ustawy AML, tj. przyjętej wpłacie lub dokonanej wypłacie środków pieniężnych oraz wykonanym transferze środków pieniężnych</w:t>
      </w:r>
      <w:r w:rsidR="00A91417">
        <w:rPr>
          <w:rStyle w:val="Odwoanieprzypisudolnego"/>
          <w:i/>
        </w:rPr>
        <w:footnoteReference w:id="19"/>
      </w:r>
      <w:r w:rsidR="000569B5">
        <w:rPr>
          <w:i/>
        </w:rPr>
        <w:t>,</w:t>
      </w:r>
    </w:p>
    <w:p w14:paraId="2C0E11D4" w14:textId="31284CEA" w:rsidR="001C5F7B" w:rsidRDefault="00795804" w:rsidP="006E5D99">
      <w:pPr>
        <w:pStyle w:val="Akapitzlist"/>
        <w:numPr>
          <w:ilvl w:val="0"/>
          <w:numId w:val="18"/>
        </w:numPr>
        <w:spacing w:after="0"/>
        <w:ind w:left="700"/>
      </w:pPr>
      <w:r>
        <w:t>s</w:t>
      </w:r>
      <w:r w:rsidR="00794178">
        <w:t xml:space="preserve">posób sporządzania zawiadomień w trybie art. 74 </w:t>
      </w:r>
      <w:r>
        <w:t>u</w:t>
      </w:r>
      <w:r w:rsidR="00794178">
        <w:t xml:space="preserve">stawy </w:t>
      </w:r>
      <w:r>
        <w:t xml:space="preserve">AML </w:t>
      </w:r>
      <w:r w:rsidR="00794178">
        <w:t>do</w:t>
      </w:r>
      <w:r w:rsidR="001C5F7B" w:rsidRPr="00582838">
        <w:t xml:space="preserve"> GIIF o okolicznościach, które mogą wskazywać na podejrzenie popełnienia przestępstwa prania pieniędzy lub finansowania terroryzmu. Dotyczy to okoliczności, które nie budzą uzasadnionego podejrzenia. Zawiadomienie jest przekazywane niezwłocznie</w:t>
      </w:r>
      <w:r w:rsidR="001C5F7B">
        <w:t>, jednak nie później niż</w:t>
      </w:r>
      <w:r w:rsidR="001C5F7B" w:rsidRPr="00582838">
        <w:t xml:space="preserve"> </w:t>
      </w:r>
      <w:r w:rsidR="003768BC">
        <w:br/>
      </w:r>
      <w:r w:rsidR="001C5F7B" w:rsidRPr="00582838">
        <w:t xml:space="preserve">w terminie do 2 dni roboczych od dnia potwierdzenia przez </w:t>
      </w:r>
      <w:r w:rsidR="00CF5CED">
        <w:t>KIP</w:t>
      </w:r>
      <w:r w:rsidR="001C5F7B" w:rsidRPr="00582838">
        <w:t xml:space="preserve"> po</w:t>
      </w:r>
      <w:r w:rsidR="000569B5">
        <w:t>dejrzenia,</w:t>
      </w:r>
    </w:p>
    <w:p w14:paraId="32CEB23B" w14:textId="721B7ADB" w:rsidR="00CB2C17" w:rsidRPr="00582838" w:rsidRDefault="00795804" w:rsidP="006E5D99">
      <w:pPr>
        <w:pStyle w:val="Podtytu"/>
        <w:numPr>
          <w:ilvl w:val="0"/>
          <w:numId w:val="18"/>
        </w:numPr>
        <w:spacing w:after="0"/>
        <w:ind w:left="7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CB2C17">
        <w:rPr>
          <w:rFonts w:eastAsiaTheme="minorHAnsi"/>
          <w:lang w:eastAsia="en-US"/>
        </w:rPr>
        <w:t xml:space="preserve">posób sporządzania </w:t>
      </w:r>
      <w:r w:rsidR="00CB2C17" w:rsidRPr="00582838">
        <w:rPr>
          <w:rFonts w:eastAsiaTheme="minorHAnsi"/>
          <w:lang w:eastAsia="en-US"/>
        </w:rPr>
        <w:t>zawiadomie</w:t>
      </w:r>
      <w:r w:rsidR="009F26C5">
        <w:rPr>
          <w:rFonts w:eastAsiaTheme="minorHAnsi"/>
          <w:lang w:eastAsia="en-US"/>
        </w:rPr>
        <w:t>ń</w:t>
      </w:r>
      <w:r w:rsidR="00CB2C17" w:rsidRPr="00582838">
        <w:rPr>
          <w:rFonts w:eastAsiaTheme="minorHAnsi"/>
          <w:lang w:eastAsia="en-US"/>
        </w:rPr>
        <w:t xml:space="preserve"> </w:t>
      </w:r>
      <w:r w:rsidR="00CB2C17">
        <w:rPr>
          <w:rFonts w:eastAsiaTheme="minorHAnsi"/>
          <w:lang w:eastAsia="en-US"/>
        </w:rPr>
        <w:t xml:space="preserve">w trybie art. 86 </w:t>
      </w:r>
      <w:r>
        <w:rPr>
          <w:rFonts w:eastAsiaTheme="minorHAnsi"/>
          <w:lang w:eastAsia="en-US"/>
        </w:rPr>
        <w:t>ustawy AML</w:t>
      </w:r>
      <w:r w:rsidR="004764C7">
        <w:rPr>
          <w:rFonts w:eastAsiaTheme="minorHAnsi"/>
          <w:lang w:eastAsia="en-US"/>
        </w:rPr>
        <w:t xml:space="preserve"> </w:t>
      </w:r>
      <w:r w:rsidR="009F26C5">
        <w:rPr>
          <w:rFonts w:eastAsiaTheme="minorHAnsi"/>
          <w:lang w:eastAsia="en-US"/>
        </w:rPr>
        <w:t xml:space="preserve">do GIIF </w:t>
      </w:r>
      <w:r w:rsidR="00CB2C17" w:rsidRPr="00582838">
        <w:rPr>
          <w:rFonts w:eastAsiaTheme="minorHAnsi"/>
          <w:lang w:eastAsia="en-US"/>
        </w:rPr>
        <w:t>o</w:t>
      </w:r>
      <w:r w:rsidR="00CB2C17">
        <w:rPr>
          <w:rFonts w:eastAsiaTheme="minorHAnsi"/>
          <w:lang w:eastAsia="en-US"/>
        </w:rPr>
        <w:t xml:space="preserve"> </w:t>
      </w:r>
      <w:r w:rsidR="00CB2C17" w:rsidRPr="00582838">
        <w:rPr>
          <w:rFonts w:eastAsiaTheme="minorHAnsi"/>
          <w:lang w:eastAsia="en-US"/>
        </w:rPr>
        <w:t>przypadku powzięcia uzasadnionego podejrzenia, że określona transakcja lub określone wartości majątkowe mogą mieć związek z praniem pieniędzy lub finansowaniem terroryzmu</w:t>
      </w:r>
      <w:r w:rsidR="004764C7">
        <w:rPr>
          <w:rFonts w:eastAsiaTheme="minorHAnsi"/>
          <w:lang w:eastAsia="en-US"/>
        </w:rPr>
        <w:t xml:space="preserve"> oraz dalszego jego procesowania</w:t>
      </w:r>
      <w:r w:rsidR="00CB2C17" w:rsidRPr="00582838">
        <w:rPr>
          <w:rFonts w:eastAsiaTheme="minorHAnsi"/>
          <w:lang w:eastAsia="en-US"/>
        </w:rPr>
        <w:t xml:space="preserve">. Przepis art. 86 </w:t>
      </w:r>
      <w:r w:rsidR="00114ECB">
        <w:rPr>
          <w:rFonts w:eastAsiaTheme="minorHAnsi"/>
          <w:lang w:eastAsia="en-US"/>
        </w:rPr>
        <w:t>u</w:t>
      </w:r>
      <w:r w:rsidR="00CB2C17">
        <w:rPr>
          <w:rFonts w:eastAsiaTheme="minorHAnsi"/>
          <w:lang w:eastAsia="en-US"/>
        </w:rPr>
        <w:t>stawy</w:t>
      </w:r>
      <w:r w:rsidR="00114ECB">
        <w:rPr>
          <w:rFonts w:eastAsiaTheme="minorHAnsi"/>
          <w:lang w:eastAsia="en-US"/>
        </w:rPr>
        <w:t xml:space="preserve"> AML</w:t>
      </w:r>
      <w:r w:rsidR="00CB2C17">
        <w:rPr>
          <w:rFonts w:eastAsiaTheme="minorHAnsi"/>
          <w:lang w:eastAsia="en-US"/>
        </w:rPr>
        <w:t xml:space="preserve"> </w:t>
      </w:r>
      <w:r w:rsidR="00CB2C17" w:rsidRPr="00582838">
        <w:rPr>
          <w:rFonts w:eastAsiaTheme="minorHAnsi"/>
          <w:lang w:eastAsia="en-US"/>
        </w:rPr>
        <w:t>odnosi się do transakcji planowanych.</w:t>
      </w:r>
      <w:r w:rsidR="00CB2C17">
        <w:rPr>
          <w:rFonts w:eastAsiaTheme="minorHAnsi"/>
          <w:lang w:eastAsia="en-US"/>
        </w:rPr>
        <w:t xml:space="preserve"> </w:t>
      </w:r>
      <w:r w:rsidR="000A06CD">
        <w:rPr>
          <w:rFonts w:eastAsiaTheme="minorHAnsi"/>
          <w:lang w:eastAsia="en-US"/>
        </w:rPr>
        <w:t>W przypadku, gdy zawiadomienie</w:t>
      </w:r>
      <w:r w:rsidR="00114ECB">
        <w:rPr>
          <w:rFonts w:eastAsiaTheme="minorHAnsi"/>
          <w:lang w:eastAsia="en-US"/>
        </w:rPr>
        <w:t xml:space="preserve"> GIIF</w:t>
      </w:r>
      <w:r w:rsidR="000A06CD">
        <w:rPr>
          <w:rFonts w:eastAsiaTheme="minorHAnsi"/>
          <w:lang w:eastAsia="en-US"/>
        </w:rPr>
        <w:t xml:space="preserve"> nie było możliwe przed przeprowadzeniem transakcji, </w:t>
      </w:r>
      <w:r w:rsidR="00CF5CED">
        <w:rPr>
          <w:rFonts w:eastAsiaTheme="minorHAnsi"/>
          <w:lang w:eastAsia="en-US"/>
        </w:rPr>
        <w:t>KIP</w:t>
      </w:r>
      <w:r w:rsidR="000A06CD">
        <w:rPr>
          <w:rFonts w:eastAsiaTheme="minorHAnsi"/>
          <w:lang w:eastAsia="en-US"/>
        </w:rPr>
        <w:t xml:space="preserve"> przekazuje zawiadomienie w trybie art. 90 </w:t>
      </w:r>
      <w:r w:rsidR="00114ECB">
        <w:rPr>
          <w:rFonts w:eastAsiaTheme="minorHAnsi"/>
          <w:lang w:eastAsia="en-US"/>
        </w:rPr>
        <w:t>u</w:t>
      </w:r>
      <w:r w:rsidR="000A06CD">
        <w:rPr>
          <w:rFonts w:eastAsiaTheme="minorHAnsi"/>
          <w:lang w:eastAsia="en-US"/>
        </w:rPr>
        <w:t>stawy</w:t>
      </w:r>
      <w:r w:rsidR="00114ECB">
        <w:rPr>
          <w:rFonts w:eastAsiaTheme="minorHAnsi"/>
          <w:lang w:eastAsia="en-US"/>
        </w:rPr>
        <w:t xml:space="preserve"> AML</w:t>
      </w:r>
      <w:r w:rsidR="000A06CD">
        <w:rPr>
          <w:rFonts w:eastAsiaTheme="minorHAnsi"/>
          <w:lang w:eastAsia="en-US"/>
        </w:rPr>
        <w:t xml:space="preserve">, </w:t>
      </w:r>
      <w:r w:rsidR="00206747">
        <w:rPr>
          <w:rFonts w:eastAsiaTheme="minorHAnsi"/>
          <w:lang w:eastAsia="en-US"/>
        </w:rPr>
        <w:t xml:space="preserve">uzasadniając przyczyny </w:t>
      </w:r>
      <w:r w:rsidR="00C43324">
        <w:rPr>
          <w:rFonts w:eastAsiaTheme="minorHAnsi"/>
          <w:lang w:eastAsia="en-US"/>
        </w:rPr>
        <w:t xml:space="preserve">braku </w:t>
      </w:r>
      <w:r w:rsidR="00206747">
        <w:rPr>
          <w:rFonts w:eastAsiaTheme="minorHAnsi"/>
          <w:lang w:eastAsia="en-US"/>
        </w:rPr>
        <w:t xml:space="preserve">wcześniejszego </w:t>
      </w:r>
      <w:r w:rsidR="00114ECB">
        <w:rPr>
          <w:rFonts w:eastAsiaTheme="minorHAnsi"/>
          <w:lang w:eastAsia="en-US"/>
        </w:rPr>
        <w:t>zawiadomienia</w:t>
      </w:r>
      <w:r w:rsidR="00C43324">
        <w:rPr>
          <w:rFonts w:eastAsiaTheme="minorHAnsi"/>
          <w:lang w:eastAsia="en-US"/>
        </w:rPr>
        <w:t>.</w:t>
      </w:r>
    </w:p>
    <w:p w14:paraId="3E984E76" w14:textId="649022DB" w:rsidR="004764C7" w:rsidRPr="00EE531B" w:rsidRDefault="004764C7" w:rsidP="003D70F5">
      <w:pPr>
        <w:pStyle w:val="Akapitzlist"/>
        <w:spacing w:after="0"/>
        <w:ind w:left="700"/>
        <w:rPr>
          <w:i/>
        </w:rPr>
      </w:pPr>
      <w:r w:rsidRPr="004764C7">
        <w:t xml:space="preserve">Wytyczne w </w:t>
      </w:r>
      <w:r w:rsidR="009F26C5">
        <w:t xml:space="preserve">tym </w:t>
      </w:r>
      <w:r w:rsidRPr="004764C7">
        <w:t xml:space="preserve">zakresie </w:t>
      </w:r>
      <w:r w:rsidR="009F26C5">
        <w:t>został</w:t>
      </w:r>
      <w:r w:rsidR="00A219CA">
        <w:t>y</w:t>
      </w:r>
      <w:r w:rsidR="009F26C5">
        <w:t xml:space="preserve"> wskazane w </w:t>
      </w:r>
      <w:r w:rsidRPr="004764C7">
        <w:t>Komunika</w:t>
      </w:r>
      <w:r w:rsidR="009F26C5">
        <w:t>cie</w:t>
      </w:r>
      <w:r w:rsidRPr="004764C7">
        <w:t xml:space="preserve"> GIIF nr 22 </w:t>
      </w:r>
      <w:r w:rsidRPr="00EE531B">
        <w:rPr>
          <w:i/>
        </w:rPr>
        <w:t>w sprawie praktycznych aspektów stosowania środków bezpieczeństwa finansowego oraz przekazywania zawiadomień, o których mowa w art. 74 i art. 86 ustawy AML</w:t>
      </w:r>
      <w:r w:rsidRPr="004764C7">
        <w:rPr>
          <w:vertAlign w:val="superscript"/>
        </w:rPr>
        <w:footnoteReference w:id="20"/>
      </w:r>
      <w:r w:rsidR="000569B5">
        <w:rPr>
          <w:i/>
        </w:rPr>
        <w:t>,</w:t>
      </w:r>
    </w:p>
    <w:p w14:paraId="7406D437" w14:textId="23451933" w:rsidR="00CB2C17" w:rsidRDefault="00114ECB" w:rsidP="006E5D99">
      <w:pPr>
        <w:pStyle w:val="Akapitzlist"/>
        <w:numPr>
          <w:ilvl w:val="0"/>
          <w:numId w:val="18"/>
        </w:numPr>
        <w:spacing w:after="0"/>
        <w:ind w:left="700"/>
      </w:pPr>
      <w:r>
        <w:t>p</w:t>
      </w:r>
      <w:r w:rsidR="004764C7">
        <w:t xml:space="preserve">roces postępowania </w:t>
      </w:r>
      <w:r w:rsidR="00CF5CED">
        <w:t>KIP</w:t>
      </w:r>
      <w:r w:rsidR="004764C7">
        <w:t xml:space="preserve"> w przypadku wstrzymania t</w:t>
      </w:r>
      <w:r w:rsidR="000569B5">
        <w:t>ransakcji lub blokady rachunku,</w:t>
      </w:r>
    </w:p>
    <w:p w14:paraId="45082988" w14:textId="77777777" w:rsidR="004764C7" w:rsidRDefault="00114ECB" w:rsidP="006E5D99">
      <w:pPr>
        <w:pStyle w:val="Akapitzlist"/>
        <w:numPr>
          <w:ilvl w:val="0"/>
          <w:numId w:val="18"/>
        </w:numPr>
        <w:spacing w:after="0"/>
        <w:ind w:left="700"/>
      </w:pPr>
      <w:r>
        <w:t>t</w:t>
      </w:r>
      <w:r w:rsidR="004764C7">
        <w:t xml:space="preserve">ryb postępowania </w:t>
      </w:r>
      <w:r w:rsidR="002B5A7E">
        <w:t>w przypadku zawiadomienia prokuratora o podejrzeniu pochodzenia wartości majątkowych z przestępstwa innego niż przestępstwo prania pieniędzy lub finansowania terroryzmu na podstawie art.</w:t>
      </w:r>
      <w:r w:rsidR="00CB45B1">
        <w:t xml:space="preserve"> 89 </w:t>
      </w:r>
      <w:r>
        <w:t>u</w:t>
      </w:r>
      <w:r w:rsidR="00CB45B1">
        <w:t>stawy</w:t>
      </w:r>
      <w:r>
        <w:t xml:space="preserve"> AML</w:t>
      </w:r>
      <w:r w:rsidR="00CB45B1">
        <w:t>, w tym niezwłocznego przekazania do GIIF ko</w:t>
      </w:r>
      <w:r w:rsidR="003768BC">
        <w:t>pii zawiadomień oraz postanowień</w:t>
      </w:r>
      <w:r w:rsidR="00CB45B1">
        <w:t xml:space="preserve"> prokuratury.</w:t>
      </w:r>
    </w:p>
    <w:p w14:paraId="652E2171" w14:textId="4E1C4700" w:rsidR="00D310A2" w:rsidRDefault="00D310A2" w:rsidP="00114ECB">
      <w:pPr>
        <w:spacing w:before="120" w:after="120"/>
        <w:ind w:left="340"/>
      </w:pPr>
      <w:r>
        <w:t>Ustaw</w:t>
      </w:r>
      <w:r w:rsidR="004317D1">
        <w:t>a</w:t>
      </w:r>
      <w:r>
        <w:t xml:space="preserve"> </w:t>
      </w:r>
      <w:r w:rsidR="00114ECB">
        <w:t xml:space="preserve">AML </w:t>
      </w:r>
      <w:r w:rsidR="00583166">
        <w:t xml:space="preserve">w art. 76 </w:t>
      </w:r>
      <w:r>
        <w:t xml:space="preserve">nakłada obowiązek przekazywania informacji lub dokumentów </w:t>
      </w:r>
      <w:r w:rsidR="00F10A9D">
        <w:br/>
      </w:r>
      <w:r>
        <w:t xml:space="preserve">w przypadku żądania wystosowanego przez GIIF. Wszelkie czynności podejmowane </w:t>
      </w:r>
      <w:r w:rsidR="003768BC">
        <w:br/>
      </w:r>
      <w:r>
        <w:t>w celu realizacji przedmiotowego obowiązku powinny być udokumentowane np. data i wynik weryfikacj</w:t>
      </w:r>
      <w:r w:rsidR="00583166">
        <w:t>i</w:t>
      </w:r>
      <w:r>
        <w:t xml:space="preserve"> bazy klientów pod kątem podmiotów lub osób fizycznych wskazanych w żądaniu GIIF.</w:t>
      </w:r>
    </w:p>
    <w:p w14:paraId="35C5E07E" w14:textId="7B17EC8F" w:rsidR="00F81299" w:rsidRDefault="00F81299" w:rsidP="001408A2">
      <w:pPr>
        <w:spacing w:after="120"/>
        <w:ind w:left="340"/>
        <w:rPr>
          <w:rFonts w:eastAsiaTheme="minorHAnsi"/>
          <w:szCs w:val="22"/>
          <w:lang w:eastAsia="en-US"/>
        </w:rPr>
      </w:pPr>
      <w:r w:rsidRPr="00F8328E">
        <w:rPr>
          <w:rFonts w:eastAsiaTheme="minorHAnsi"/>
          <w:i/>
          <w:szCs w:val="22"/>
          <w:lang w:eastAsia="en-US"/>
        </w:rPr>
        <w:t>Procedura</w:t>
      </w:r>
      <w:r>
        <w:rPr>
          <w:rFonts w:eastAsiaTheme="minorHAnsi"/>
          <w:szCs w:val="22"/>
          <w:lang w:eastAsia="en-US"/>
        </w:rPr>
        <w:t xml:space="preserve"> powinna uwzględn</w:t>
      </w:r>
      <w:r w:rsidR="003B5FB3">
        <w:rPr>
          <w:rFonts w:eastAsiaTheme="minorHAnsi"/>
          <w:szCs w:val="22"/>
          <w:lang w:eastAsia="en-US"/>
        </w:rPr>
        <w:t>i</w:t>
      </w:r>
      <w:r w:rsidR="003D70F5">
        <w:rPr>
          <w:rFonts w:eastAsiaTheme="minorHAnsi"/>
          <w:szCs w:val="22"/>
          <w:lang w:eastAsia="en-US"/>
        </w:rPr>
        <w:t>a</w:t>
      </w:r>
      <w:r>
        <w:rPr>
          <w:rFonts w:eastAsiaTheme="minorHAnsi"/>
          <w:szCs w:val="22"/>
          <w:lang w:eastAsia="en-US"/>
        </w:rPr>
        <w:t xml:space="preserve">ć postanowienia art. 54 </w:t>
      </w:r>
      <w:r w:rsidR="00F8328E">
        <w:rPr>
          <w:rFonts w:eastAsiaTheme="minorHAnsi"/>
          <w:szCs w:val="22"/>
          <w:lang w:eastAsia="en-US"/>
        </w:rPr>
        <w:t>u</w:t>
      </w:r>
      <w:r>
        <w:rPr>
          <w:rFonts w:eastAsiaTheme="minorHAnsi"/>
          <w:szCs w:val="22"/>
          <w:lang w:eastAsia="en-US"/>
        </w:rPr>
        <w:t>stawy</w:t>
      </w:r>
      <w:r w:rsidR="00F8328E">
        <w:rPr>
          <w:rFonts w:eastAsiaTheme="minorHAnsi"/>
          <w:szCs w:val="22"/>
          <w:lang w:eastAsia="en-US"/>
        </w:rPr>
        <w:t xml:space="preserve"> AML</w:t>
      </w:r>
      <w:r>
        <w:rPr>
          <w:rFonts w:eastAsiaTheme="minorHAnsi"/>
          <w:szCs w:val="22"/>
          <w:lang w:eastAsia="en-US"/>
        </w:rPr>
        <w:t xml:space="preserve"> dotyczącego obowiązku </w:t>
      </w:r>
      <w:r w:rsidRPr="009024E2">
        <w:rPr>
          <w:rFonts w:eastAsiaTheme="minorHAnsi"/>
          <w:b/>
          <w:szCs w:val="22"/>
          <w:lang w:eastAsia="en-US"/>
        </w:rPr>
        <w:t>zachowania tajemnicy</w:t>
      </w:r>
      <w:r>
        <w:rPr>
          <w:rFonts w:eastAsiaTheme="minorHAnsi"/>
          <w:szCs w:val="22"/>
          <w:lang w:eastAsia="en-US"/>
        </w:rPr>
        <w:t xml:space="preserve"> przez IO, jej pracowników oraz osoby działające w imieniu i na jej rzecz w zakresie przekazywania informacji do GIIF oraz planowaniu wszczęcia oraz o prowadzeniu analizy dotycząc</w:t>
      </w:r>
      <w:r w:rsidR="00583166">
        <w:rPr>
          <w:rFonts w:eastAsiaTheme="minorHAnsi"/>
          <w:szCs w:val="22"/>
          <w:lang w:eastAsia="en-US"/>
        </w:rPr>
        <w:t>ej</w:t>
      </w:r>
      <w:r>
        <w:rPr>
          <w:rFonts w:eastAsiaTheme="minorHAnsi"/>
          <w:szCs w:val="22"/>
          <w:lang w:eastAsia="en-US"/>
        </w:rPr>
        <w:t xml:space="preserve"> ML/FT.</w:t>
      </w:r>
    </w:p>
    <w:p w14:paraId="5FDB2595" w14:textId="77777777" w:rsidR="000872E3" w:rsidRPr="00F13418" w:rsidRDefault="000872E3" w:rsidP="001408A2">
      <w:pPr>
        <w:spacing w:after="120"/>
        <w:ind w:left="340"/>
        <w:rPr>
          <w:rFonts w:eastAsiaTheme="minorHAnsi"/>
          <w:szCs w:val="22"/>
          <w:lang w:eastAsia="en-US"/>
        </w:rPr>
      </w:pPr>
    </w:p>
    <w:p w14:paraId="0341FF98" w14:textId="2CE473E6" w:rsidR="00B819B0" w:rsidRPr="00CE41C6" w:rsidRDefault="00B819B0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 w:rsidRPr="00CE41C6">
        <w:rPr>
          <w:b/>
        </w:rPr>
        <w:lastRenderedPageBreak/>
        <w:t xml:space="preserve">zasad upowszechniania wśród pracowników </w:t>
      </w:r>
      <w:r w:rsidR="00FC003B">
        <w:rPr>
          <w:b/>
        </w:rPr>
        <w:t>KIP</w:t>
      </w:r>
      <w:r w:rsidR="0091365C">
        <w:rPr>
          <w:b/>
        </w:rPr>
        <w:t xml:space="preserve"> oraz jej agentów</w:t>
      </w:r>
      <w:r w:rsidR="00FC003B" w:rsidRPr="00CE41C6">
        <w:rPr>
          <w:b/>
        </w:rPr>
        <w:t xml:space="preserve"> </w:t>
      </w:r>
      <w:r w:rsidRPr="00CE41C6">
        <w:rPr>
          <w:b/>
        </w:rPr>
        <w:t>wiedzy z zakresu przepisów o przeciwdziałaniu praniu pieniędzy oraz finansowaniu terroryzmu;</w:t>
      </w:r>
    </w:p>
    <w:p w14:paraId="15F71814" w14:textId="7829C2E5" w:rsidR="00CB5CC1" w:rsidRDefault="00CB5CC1" w:rsidP="00D8455D">
      <w:pPr>
        <w:pStyle w:val="Akapitzlist"/>
        <w:spacing w:before="120" w:after="0"/>
        <w:ind w:left="357"/>
      </w:pPr>
      <w:r>
        <w:t xml:space="preserve">Zgodnie z postanowieniami art. 52 ust. 1 </w:t>
      </w:r>
      <w:r w:rsidR="00467DB1">
        <w:t>u</w:t>
      </w:r>
      <w:r>
        <w:t>stawy</w:t>
      </w:r>
      <w:r w:rsidR="00467DB1">
        <w:t xml:space="preserve"> AML</w:t>
      </w:r>
      <w:r>
        <w:t xml:space="preserve">, </w:t>
      </w:r>
      <w:r w:rsidR="003B5FB3">
        <w:t>KIP</w:t>
      </w:r>
      <w:r w:rsidR="002F2CD1">
        <w:t xml:space="preserve"> ma</w:t>
      </w:r>
      <w:r w:rsidRPr="000554E7">
        <w:t xml:space="preserve"> obowiązek zapewnienia udział</w:t>
      </w:r>
      <w:r>
        <w:t>u</w:t>
      </w:r>
      <w:r w:rsidRPr="000554E7">
        <w:t xml:space="preserve"> </w:t>
      </w:r>
      <w:r w:rsidRPr="001D2A6D">
        <w:t xml:space="preserve">osób wykonujących </w:t>
      </w:r>
      <w:r>
        <w:t xml:space="preserve">czynności </w:t>
      </w:r>
      <w:r w:rsidRPr="001D2A6D">
        <w:t>związane z</w:t>
      </w:r>
      <w:r>
        <w:t xml:space="preserve"> </w:t>
      </w:r>
      <w:r w:rsidRPr="001D2A6D">
        <w:t xml:space="preserve">przeciwdziałaniem </w:t>
      </w:r>
      <w:r w:rsidR="00B956C1">
        <w:t>ML/FT</w:t>
      </w:r>
      <w:r w:rsidRPr="001D2A6D">
        <w:t xml:space="preserve"> w programach szkoleniowych dotyczących realizacji tych obowiązków</w:t>
      </w:r>
      <w:r>
        <w:t xml:space="preserve">. </w:t>
      </w:r>
      <w:r w:rsidR="00D8455D">
        <w:t>Programy szkoleniowe powinny uwzględniać charakter, rodzaj i rozmiar prowadzonej działalności.</w:t>
      </w:r>
    </w:p>
    <w:p w14:paraId="4363710A" w14:textId="35DC35D8" w:rsidR="00CB5CC1" w:rsidRDefault="00205879" w:rsidP="00D8455D">
      <w:pPr>
        <w:pStyle w:val="Akapitzlist"/>
        <w:spacing w:before="120" w:after="0"/>
        <w:ind w:left="357"/>
        <w:rPr>
          <w:i/>
        </w:rPr>
      </w:pPr>
      <w:r>
        <w:t xml:space="preserve">Opracowując </w:t>
      </w:r>
      <w:r w:rsidR="00DC30CD">
        <w:t>postanowienia</w:t>
      </w:r>
      <w:r>
        <w:t xml:space="preserve"> </w:t>
      </w:r>
      <w:r w:rsidRPr="00467DB1">
        <w:rPr>
          <w:i/>
        </w:rPr>
        <w:t>Procedury</w:t>
      </w:r>
      <w:r>
        <w:t xml:space="preserve"> </w:t>
      </w:r>
      <w:r w:rsidR="00CB5CC1">
        <w:t xml:space="preserve">należy uwzględnić Komunikat GIIF z dnia 19 czerwca 2018 r. </w:t>
      </w:r>
      <w:r w:rsidR="00CB5CC1" w:rsidRPr="00652471">
        <w:rPr>
          <w:i/>
        </w:rPr>
        <w:t>dotyczący obowiązku szkoleniowego z przepisów ustawy z dnia 1</w:t>
      </w:r>
      <w:r w:rsidR="00100B1D">
        <w:rPr>
          <w:i/>
        </w:rPr>
        <w:t xml:space="preserve"> </w:t>
      </w:r>
      <w:r w:rsidR="00CB5CC1" w:rsidRPr="00652471">
        <w:rPr>
          <w:i/>
        </w:rPr>
        <w:t>marca 2018 r. o</w:t>
      </w:r>
      <w:r w:rsidR="00D37663">
        <w:rPr>
          <w:i/>
        </w:rPr>
        <w:t> </w:t>
      </w:r>
      <w:r w:rsidR="00CB5CC1" w:rsidRPr="00652471">
        <w:rPr>
          <w:i/>
        </w:rPr>
        <w:t>przeciwdziałaniu praniu pieniędzy oraz finansowaniu terroryzmu</w:t>
      </w:r>
      <w:r w:rsidR="00CB5CC1">
        <w:rPr>
          <w:rStyle w:val="Odwoanieprzypisudolnego"/>
        </w:rPr>
        <w:footnoteReference w:id="21"/>
      </w:r>
      <w:r w:rsidR="00CB5CC1">
        <w:rPr>
          <w:i/>
        </w:rPr>
        <w:t>.</w:t>
      </w:r>
    </w:p>
    <w:p w14:paraId="58F458D5" w14:textId="59052A04" w:rsidR="00CB5CC1" w:rsidRDefault="00CB5CC1" w:rsidP="00D8455D">
      <w:pPr>
        <w:pStyle w:val="Akapitzlist"/>
        <w:spacing w:before="120" w:after="0"/>
        <w:ind w:left="357"/>
      </w:pPr>
      <w:r>
        <w:t xml:space="preserve">Zgodnie z praktyką rynkową </w:t>
      </w:r>
      <w:r w:rsidR="007B268B" w:rsidRPr="00467DB1">
        <w:rPr>
          <w:i/>
        </w:rPr>
        <w:t>Procedura</w:t>
      </w:r>
      <w:r w:rsidRPr="00467DB1">
        <w:rPr>
          <w:i/>
        </w:rPr>
        <w:t xml:space="preserve"> </w:t>
      </w:r>
      <w:r>
        <w:t xml:space="preserve">powinna </w:t>
      </w:r>
      <w:r w:rsidR="007B268B">
        <w:t>określać</w:t>
      </w:r>
      <w:r w:rsidR="00583166">
        <w:t>:</w:t>
      </w:r>
    </w:p>
    <w:p w14:paraId="0BF58668" w14:textId="77777777" w:rsidR="00956BBE" w:rsidRDefault="00956BBE" w:rsidP="006E5D99">
      <w:pPr>
        <w:pStyle w:val="Akapitzlist"/>
        <w:numPr>
          <w:ilvl w:val="0"/>
          <w:numId w:val="3"/>
        </w:numPr>
        <w:spacing w:after="0"/>
        <w:ind w:left="714" w:hanging="357"/>
      </w:pPr>
    </w:p>
    <w:p w14:paraId="19F08DC5" w14:textId="77777777" w:rsidR="00956BBE" w:rsidRPr="003B0480" w:rsidRDefault="00956BBE" w:rsidP="00956BBE">
      <w:pPr>
        <w:pStyle w:val="Akapitzlist"/>
        <w:numPr>
          <w:ilvl w:val="0"/>
          <w:numId w:val="3"/>
        </w:numPr>
        <w:spacing w:after="0"/>
        <w:ind w:left="714" w:hanging="357"/>
      </w:pPr>
      <w:r w:rsidRPr="003B0480">
        <w:t>obowiązek ukończenia szkolenia w odniesieniu do nowo zatrudnionych pracowników przed samodzielnym przystąpien</w:t>
      </w:r>
      <w:r>
        <w:t>iem do czynności merytorycznych,</w:t>
      </w:r>
    </w:p>
    <w:p w14:paraId="3100D92B" w14:textId="780A0649" w:rsidR="003A6CF5" w:rsidRPr="003B0480" w:rsidRDefault="003A6CF5" w:rsidP="006E5D99">
      <w:pPr>
        <w:pStyle w:val="Akapitzlist"/>
        <w:numPr>
          <w:ilvl w:val="0"/>
          <w:numId w:val="3"/>
        </w:numPr>
        <w:spacing w:after="0"/>
        <w:ind w:left="714" w:hanging="357"/>
      </w:pPr>
      <w:r w:rsidRPr="003B0480">
        <w:t>częstotliwość przeprowadzania aktualizujących szkoleń AML/CFT (dla dotychczasowych pracowników), jak również</w:t>
      </w:r>
      <w:r>
        <w:t xml:space="preserve"> </w:t>
      </w:r>
      <w:r w:rsidRPr="003B0480">
        <w:t>konieczność odbycia szkoleń w przypadku zmian przepisów prawa bądź w przypadku stwierdzenia istotnych nieprawidłowości w wyniku przeprowadzonych kontroli zewnęt</w:t>
      </w:r>
      <w:r w:rsidR="00AC22BA">
        <w:t>rznych, wewnętrznych lub audytu,</w:t>
      </w:r>
    </w:p>
    <w:p w14:paraId="08980EC8" w14:textId="61C9216F" w:rsidR="003A6CF5" w:rsidRPr="003B0480" w:rsidRDefault="003A6CF5" w:rsidP="006E5D99">
      <w:pPr>
        <w:pStyle w:val="Akapitzlist"/>
        <w:numPr>
          <w:ilvl w:val="0"/>
          <w:numId w:val="3"/>
        </w:numPr>
        <w:spacing w:after="0"/>
        <w:ind w:left="714" w:hanging="357"/>
      </w:pPr>
      <w:r w:rsidRPr="003B0480">
        <w:t>jednostki organizacyjne, stanowiska</w:t>
      </w:r>
      <w:r w:rsidR="00E33509">
        <w:t>,</w:t>
      </w:r>
      <w:r w:rsidRPr="003B0480">
        <w:t xml:space="preserve"> pracowników</w:t>
      </w:r>
      <w:r w:rsidR="00E33509">
        <w:t xml:space="preserve"> oraz agentów,</w:t>
      </w:r>
      <w:r w:rsidRPr="003B0480">
        <w:t xml:space="preserve"> którzy podlegają obowiązkowi s</w:t>
      </w:r>
      <w:r w:rsidR="00467DB1">
        <w:t>zkoleniowemu w</w:t>
      </w:r>
      <w:r w:rsidR="00AC22BA">
        <w:t xml:space="preserve"> zakresie AML/CFT,</w:t>
      </w:r>
    </w:p>
    <w:p w14:paraId="4C7BBF0F" w14:textId="5038E403" w:rsidR="003A6CF5" w:rsidRPr="003B0480" w:rsidRDefault="003A6CF5" w:rsidP="006E5D99">
      <w:pPr>
        <w:pStyle w:val="Akapitzlist"/>
        <w:numPr>
          <w:ilvl w:val="0"/>
          <w:numId w:val="3"/>
        </w:numPr>
        <w:spacing w:after="0"/>
        <w:ind w:left="714" w:hanging="357"/>
      </w:pPr>
      <w:r w:rsidRPr="003B0480">
        <w:t>osobę/osoby odpowiedzialne za zapewnienie pracownikom szkolenia w zakresie AML/CFT</w:t>
      </w:r>
      <w:r w:rsidR="00AC22BA">
        <w:t>,</w:t>
      </w:r>
    </w:p>
    <w:p w14:paraId="196A1E0E" w14:textId="335FFD07" w:rsidR="003A6CF5" w:rsidRPr="003B0480" w:rsidRDefault="003A6CF5" w:rsidP="006E5D99">
      <w:pPr>
        <w:pStyle w:val="Akapitzlist"/>
        <w:numPr>
          <w:ilvl w:val="0"/>
          <w:numId w:val="3"/>
        </w:numPr>
        <w:spacing w:after="0"/>
        <w:ind w:left="714" w:hanging="357"/>
      </w:pPr>
      <w:r w:rsidRPr="003B0480">
        <w:t>sposób dokumentowania/potwierdzania udziału w szkoleniu, w tym nowo przyjętych pracowników przed przystąpien</w:t>
      </w:r>
      <w:r w:rsidR="00AC22BA">
        <w:t>iem do czynności merytorycznych,</w:t>
      </w:r>
    </w:p>
    <w:p w14:paraId="170FBDF4" w14:textId="76E256E6" w:rsidR="003A6CF5" w:rsidRPr="003B0480" w:rsidRDefault="003A6CF5" w:rsidP="006E5D99">
      <w:pPr>
        <w:pStyle w:val="Akapitzlist"/>
        <w:numPr>
          <w:ilvl w:val="0"/>
          <w:numId w:val="3"/>
        </w:numPr>
        <w:spacing w:after="0"/>
        <w:ind w:left="714" w:hanging="357"/>
      </w:pPr>
      <w:r>
        <w:t>s</w:t>
      </w:r>
      <w:r w:rsidRPr="003B0480">
        <w:t>pos</w:t>
      </w:r>
      <w:r>
        <w:t>ó</w:t>
      </w:r>
      <w:r w:rsidRPr="003B0480">
        <w:t>b prowadz</w:t>
      </w:r>
      <w:r>
        <w:t>enia</w:t>
      </w:r>
      <w:r w:rsidRPr="003B0480">
        <w:t xml:space="preserve"> monitoring</w:t>
      </w:r>
      <w:r>
        <w:t>u</w:t>
      </w:r>
      <w:r w:rsidRPr="003B0480">
        <w:t>/kontrol</w:t>
      </w:r>
      <w:r>
        <w:t>i</w:t>
      </w:r>
      <w:r w:rsidRPr="003B0480">
        <w:t xml:space="preserve"> wykonywania obowiązku szkoleniowego przez pracowników i os</w:t>
      </w:r>
      <w:r w:rsidR="00AB0DEB">
        <w:t>oby</w:t>
      </w:r>
      <w:r w:rsidRPr="003B0480">
        <w:t xml:space="preserve"> współpracując</w:t>
      </w:r>
      <w:r w:rsidR="00047F71">
        <w:t>e</w:t>
      </w:r>
      <w:r w:rsidRPr="003B0480">
        <w:t xml:space="preserve"> (przedstawicieli, agentów) oraz działa</w:t>
      </w:r>
      <w:r w:rsidR="00467DB1">
        <w:t>ń</w:t>
      </w:r>
      <w:r w:rsidRPr="003B0480">
        <w:t xml:space="preserve"> podejmowan</w:t>
      </w:r>
      <w:r w:rsidR="00467DB1">
        <w:t>ych</w:t>
      </w:r>
      <w:r w:rsidRPr="003B0480">
        <w:t xml:space="preserve"> w </w:t>
      </w:r>
      <w:r w:rsidR="00467DB1">
        <w:t>stosunku do osób, które</w:t>
      </w:r>
      <w:r w:rsidR="00AC22BA">
        <w:t xml:space="preserve"> nie wzięły udziału w szkoleniu,</w:t>
      </w:r>
    </w:p>
    <w:p w14:paraId="51F6FC53" w14:textId="678F516D" w:rsidR="003A6CF5" w:rsidRPr="003B0480" w:rsidRDefault="003A6CF5" w:rsidP="006E5D99">
      <w:pPr>
        <w:pStyle w:val="Akapitzlist"/>
        <w:numPr>
          <w:ilvl w:val="0"/>
          <w:numId w:val="3"/>
        </w:numPr>
        <w:spacing w:after="120"/>
        <w:ind w:left="714" w:hanging="357"/>
      </w:pPr>
      <w:r w:rsidRPr="003B0480">
        <w:t xml:space="preserve">sposób raportowania wykonania obowiązku szkoleniowego (statystyki oraz podejmowane działania) do osób nadzorujących proces AML/CFT lub organów statutowych </w:t>
      </w:r>
      <w:r w:rsidR="003B5FB3">
        <w:t>KIP</w:t>
      </w:r>
      <w:r w:rsidR="00CE41C6">
        <w:t>.</w:t>
      </w:r>
    </w:p>
    <w:p w14:paraId="0B3AEF52" w14:textId="77777777" w:rsidR="00B819B0" w:rsidRDefault="00B819B0" w:rsidP="006E5D99">
      <w:pPr>
        <w:pStyle w:val="Akapitzlist"/>
        <w:numPr>
          <w:ilvl w:val="0"/>
          <w:numId w:val="4"/>
        </w:numPr>
        <w:spacing w:after="120"/>
        <w:ind w:left="357" w:hanging="357"/>
        <w:rPr>
          <w:b/>
        </w:rPr>
      </w:pPr>
      <w:r w:rsidRPr="00CE41C6">
        <w:rPr>
          <w:b/>
        </w:rPr>
        <w:t>zasad zgłaszania przez pracowników rzeczywistych lub potencjalnych naruszeń przepisów z</w:t>
      </w:r>
      <w:r w:rsidR="00100B1D">
        <w:rPr>
          <w:b/>
        </w:rPr>
        <w:t xml:space="preserve"> </w:t>
      </w:r>
      <w:r w:rsidRPr="00CE41C6">
        <w:rPr>
          <w:b/>
        </w:rPr>
        <w:t>zakresu przeciwdziałania praniu pieniędzy oraz finansowaniu terroryzmu;</w:t>
      </w:r>
    </w:p>
    <w:p w14:paraId="6EFBD73B" w14:textId="26B470FC" w:rsidR="00D348AC" w:rsidRDefault="00D348AC" w:rsidP="00D348AC">
      <w:pPr>
        <w:pStyle w:val="Podtytu"/>
        <w:spacing w:after="120"/>
        <w:ind w:left="340"/>
      </w:pPr>
      <w:r>
        <w:t xml:space="preserve">Zgodnie z art. 53 </w:t>
      </w:r>
      <w:r w:rsidR="00467DB1">
        <w:t>u</w:t>
      </w:r>
      <w:r>
        <w:t>stawy</w:t>
      </w:r>
      <w:r w:rsidR="00467DB1">
        <w:t xml:space="preserve"> AML</w:t>
      </w:r>
      <w:r>
        <w:t xml:space="preserve">, IO opracowują i wdrażają wewnętrzną procedurę anonimowego zgłaszania przez pracowników lub inne osoby </w:t>
      </w:r>
      <w:r w:rsidR="0091365C">
        <w:t xml:space="preserve">i podmioty </w:t>
      </w:r>
      <w:r>
        <w:t xml:space="preserve">wykonujące czynności na rzecz instytucji obowiązanej rzeczywistych lub potencjalnych naruszeń przepisów z zakresu przeciwdziałania praniu pieniędzy oraz finansowaniu terroryzmu – </w:t>
      </w:r>
      <w:r w:rsidRPr="00467DB1">
        <w:rPr>
          <w:i/>
        </w:rPr>
        <w:t>Procedura whistleblowing</w:t>
      </w:r>
      <w:r>
        <w:t>.</w:t>
      </w:r>
    </w:p>
    <w:p w14:paraId="4E7CE659" w14:textId="3629B4FE" w:rsidR="00D348AC" w:rsidRDefault="00D348AC" w:rsidP="00D348AC">
      <w:pPr>
        <w:ind w:left="340"/>
      </w:pPr>
      <w:r>
        <w:t>Procedura ta powinna określać w szczególności</w:t>
      </w:r>
      <w:r w:rsidR="00C65DE8">
        <w:t>:</w:t>
      </w:r>
    </w:p>
    <w:p w14:paraId="289DBE2C" w14:textId="71D6FDBA" w:rsidR="00D348AC" w:rsidRPr="00375229" w:rsidRDefault="00D348AC" w:rsidP="006E5D99">
      <w:pPr>
        <w:pStyle w:val="Akapitzlist"/>
        <w:numPr>
          <w:ilvl w:val="0"/>
          <w:numId w:val="7"/>
        </w:numPr>
        <w:spacing w:after="0"/>
      </w:pPr>
      <w:r>
        <w:t xml:space="preserve">osobę odpowiedzialną za odbieranie zgłoszeń (może to być konkretna osoba lub stanowisko). </w:t>
      </w:r>
      <w:r w:rsidRPr="00375229">
        <w:t xml:space="preserve">Osoba, która przetwarza zgłoszenia nie powinna być </w:t>
      </w:r>
      <w:r w:rsidR="00467DB1">
        <w:t>A</w:t>
      </w:r>
      <w:r w:rsidRPr="00375229">
        <w:t>MLRO</w:t>
      </w:r>
      <w:r>
        <w:t>,</w:t>
      </w:r>
      <w:r w:rsidRPr="00375229">
        <w:t xml:space="preserve"> ani osobą zaangażowaną </w:t>
      </w:r>
      <w:r w:rsidR="00D14568">
        <w:br/>
      </w:r>
      <w:r w:rsidRPr="00375229">
        <w:t xml:space="preserve">w przeciwdziałanie praniu pieniędzy oraz finansowaniu terroryzmu, aby </w:t>
      </w:r>
      <w:r>
        <w:t xml:space="preserve">uniknąć sytuacji, </w:t>
      </w:r>
      <w:r w:rsidR="00D14568">
        <w:br/>
      </w:r>
      <w:r>
        <w:t xml:space="preserve">w której będzie ona </w:t>
      </w:r>
      <w:r w:rsidRPr="00375229">
        <w:t xml:space="preserve">rozpatrywać </w:t>
      </w:r>
      <w:r>
        <w:t xml:space="preserve">ewentualne </w:t>
      </w:r>
      <w:r w:rsidRPr="00375229">
        <w:t>skarg</w:t>
      </w:r>
      <w:r>
        <w:t>i</w:t>
      </w:r>
      <w:r w:rsidRPr="00375229">
        <w:t xml:space="preserve"> na własne działanie</w:t>
      </w:r>
      <w:r w:rsidR="00AC22BA">
        <w:t>,</w:t>
      </w:r>
    </w:p>
    <w:p w14:paraId="46956FA8" w14:textId="1DC929BC" w:rsidR="00D348AC" w:rsidRDefault="00D348AC" w:rsidP="006E5D99">
      <w:pPr>
        <w:pStyle w:val="Akapitzlist"/>
        <w:numPr>
          <w:ilvl w:val="0"/>
          <w:numId w:val="7"/>
        </w:numPr>
        <w:spacing w:after="0"/>
      </w:pPr>
      <w:r>
        <w:lastRenderedPageBreak/>
        <w:t>sposób odbierania zgłoszeń (wskazanie kanałów, jakimi zgłoszenie może być dokonane tak</w:t>
      </w:r>
      <w:r w:rsidR="00C65DE8">
        <w:t>,</w:t>
      </w:r>
      <w:r>
        <w:t xml:space="preserve"> aby osobie zgłaszającej zapewnić anonimowość)</w:t>
      </w:r>
      <w:r w:rsidR="00AC22BA">
        <w:t>,</w:t>
      </w:r>
    </w:p>
    <w:p w14:paraId="6DE9596B" w14:textId="533F0523" w:rsidR="00D348AC" w:rsidRDefault="00D348AC" w:rsidP="006E5D99">
      <w:pPr>
        <w:pStyle w:val="Akapitzlist"/>
        <w:numPr>
          <w:ilvl w:val="0"/>
          <w:numId w:val="7"/>
        </w:numPr>
        <w:spacing w:after="0"/>
      </w:pPr>
      <w:r>
        <w:t xml:space="preserve">sposób ochrony pracownika lub innej osoby wykonującej czynności na rzecz </w:t>
      </w:r>
      <w:r w:rsidR="00CF5CED">
        <w:t>KIP</w:t>
      </w:r>
      <w:r>
        <w:t xml:space="preserve"> dokonujących zgłoszeń, zapewniający co najmniej ochronę przed działaniami o charakterze represyjnym lub wpływającymi na pogorszenie ich sytuacji prawnej lub faktycznej, lub polegającymi na kierowaniu gróźb (wskazanie </w:t>
      </w:r>
      <w:r w:rsidR="00AC22BA">
        <w:t xml:space="preserve">w jaki </w:t>
      </w:r>
      <w:r>
        <w:t>spos</w:t>
      </w:r>
      <w:r w:rsidR="00AC22BA">
        <w:t>ó</w:t>
      </w:r>
      <w:r>
        <w:t>b instytucja obowiązana zamierza chronić osoby dokonujące zgłoszenia)</w:t>
      </w:r>
      <w:r w:rsidR="00AC22BA">
        <w:t>,</w:t>
      </w:r>
    </w:p>
    <w:p w14:paraId="2C185276" w14:textId="3CE41CC5" w:rsidR="00D348AC" w:rsidRDefault="00D348AC" w:rsidP="006E5D99">
      <w:pPr>
        <w:pStyle w:val="Akapitzlist"/>
        <w:numPr>
          <w:ilvl w:val="0"/>
          <w:numId w:val="7"/>
        </w:numPr>
        <w:spacing w:after="0"/>
      </w:pPr>
      <w:r>
        <w:t xml:space="preserve">sposób ochrony danych osobowych pracownika lub innej osoby wykonującej czynności na rzecz instytucji obowiązanej dokonujących zgłoszenia oraz osoby, której zarzuca się dokonanie naruszenia, zgodnie z przepisami o ochronie danych osobowych (określenie podstawy prawnej przetwarzania danych osobowych, wskazanie sposobu postępowania </w:t>
      </w:r>
      <w:r w:rsidR="00F10A9D">
        <w:br/>
      </w:r>
      <w:r>
        <w:t>z danymi, spos</w:t>
      </w:r>
      <w:r w:rsidR="00D14568">
        <w:t>o</w:t>
      </w:r>
      <w:r>
        <w:t>b</w:t>
      </w:r>
      <w:r w:rsidR="00D14568">
        <w:t>u</w:t>
      </w:r>
      <w:r w:rsidR="00AC22BA">
        <w:t xml:space="preserve"> ich przechowywania),</w:t>
      </w:r>
    </w:p>
    <w:p w14:paraId="3C20449F" w14:textId="2A40579A" w:rsidR="00D348AC" w:rsidRDefault="00D348AC" w:rsidP="006E5D99">
      <w:pPr>
        <w:pStyle w:val="Akapitzlist"/>
        <w:numPr>
          <w:ilvl w:val="0"/>
          <w:numId w:val="7"/>
        </w:numPr>
        <w:spacing w:after="0"/>
      </w:pPr>
      <w:r>
        <w:t>zasady zachowania poufności w przypadku ujawnienia tożsamości osób, o których mowa w</w:t>
      </w:r>
      <w:r w:rsidR="003519B2">
        <w:t> </w:t>
      </w:r>
      <w:r>
        <w:t xml:space="preserve">pkt 4, lub gdy ich tożsamość jest możliwa do ustalenia (taki sposób postępowania </w:t>
      </w:r>
      <w:r w:rsidR="00D14568">
        <w:br/>
      </w:r>
      <w:r>
        <w:t>z dokonanym zgłoszeniem, aby pozostawało ono oraz dane osobowe w nim zawarte, poufne</w:t>
      </w:r>
      <w:r w:rsidR="00612DF1">
        <w:t xml:space="preserve"> poprzez </w:t>
      </w:r>
      <w:r>
        <w:t xml:space="preserve">zawężenie kręgu osób uprawnionych do dostępu do treści zgłoszeń, jak </w:t>
      </w:r>
      <w:r w:rsidR="00D14568">
        <w:br/>
      </w:r>
      <w:r>
        <w:t>i zabezpieczeni</w:t>
      </w:r>
      <w:r w:rsidR="00AC22BA">
        <w:t xml:space="preserve">e dostępu do kanałów </w:t>
      </w:r>
      <w:r w:rsidR="00047F71">
        <w:t xml:space="preserve">odbierania </w:t>
      </w:r>
      <w:r w:rsidR="00AC22BA">
        <w:t>zgłoszeń),</w:t>
      </w:r>
    </w:p>
    <w:p w14:paraId="3CF553BD" w14:textId="33B4ED9A" w:rsidR="00D348AC" w:rsidRDefault="00D348AC" w:rsidP="006E5D99">
      <w:pPr>
        <w:pStyle w:val="Akapitzlist"/>
        <w:numPr>
          <w:ilvl w:val="0"/>
          <w:numId w:val="7"/>
        </w:numPr>
        <w:spacing w:after="0"/>
      </w:pPr>
      <w:r>
        <w:t>rodzaj i charakter działań następczych podejmowanych po odebraniu zgłoszenia (w tym określenie dalszych działań podejmowanych w związku ze zgłoszeniem, wskazanie osób, które ustalą zasadność zgłoszenia, terminów, w jakich poszczególne etapy postępowania powinny być realizowane. Wynik przeprowadzonych działań w formie pisemnej powinien zostać przekazany do organ</w:t>
      </w:r>
      <w:r w:rsidR="00D14568">
        <w:t xml:space="preserve">ów </w:t>
      </w:r>
      <w:r w:rsidR="00867D70">
        <w:t>KIP</w:t>
      </w:r>
      <w:r w:rsidR="00D14568">
        <w:t xml:space="preserve">, które podejmą decyzje o </w:t>
      </w:r>
      <w:r>
        <w:t>powiadomieni</w:t>
      </w:r>
      <w:r w:rsidR="00D14568">
        <w:t>u</w:t>
      </w:r>
      <w:r>
        <w:t xml:space="preserve"> odp</w:t>
      </w:r>
      <w:r w:rsidR="00AC22BA">
        <w:t>owiednich organów lub GIIF),</w:t>
      </w:r>
    </w:p>
    <w:p w14:paraId="2A9A5A8B" w14:textId="77777777" w:rsidR="00D348AC" w:rsidRDefault="00D348AC" w:rsidP="006E5D99">
      <w:pPr>
        <w:pStyle w:val="Akapitzlist"/>
        <w:numPr>
          <w:ilvl w:val="0"/>
          <w:numId w:val="7"/>
        </w:numPr>
        <w:spacing w:after="0"/>
      </w:pPr>
      <w:r>
        <w:t>termin usunięcia przez instytucje obowiązane danych osobowych zawartych w zgłoszeniach (określenie, zgodnie z przepisami dotyczącymi ochrony danych osobowych, czasu, po jakim dane osobowe przetwarzane w związku z dokonanym zgłoszeniem oraz przeprowadzonym postępowaniem wyjaśniającym, zostaną usunięte).</w:t>
      </w:r>
    </w:p>
    <w:p w14:paraId="7E905B03" w14:textId="77777777" w:rsidR="00D348AC" w:rsidRDefault="003725C1" w:rsidP="00D348AC">
      <w:pPr>
        <w:pStyle w:val="Akapitzlist"/>
        <w:spacing w:before="120" w:after="0"/>
        <w:ind w:left="340"/>
      </w:pPr>
      <w:r>
        <w:t xml:space="preserve">Do </w:t>
      </w:r>
      <w:r w:rsidR="00D348AC" w:rsidRPr="00612DF1">
        <w:rPr>
          <w:i/>
        </w:rPr>
        <w:t>Procedur</w:t>
      </w:r>
      <w:r w:rsidRPr="00612DF1">
        <w:rPr>
          <w:i/>
        </w:rPr>
        <w:t>y</w:t>
      </w:r>
      <w:r w:rsidR="00D348AC" w:rsidRPr="00612DF1">
        <w:rPr>
          <w:i/>
        </w:rPr>
        <w:t xml:space="preserve"> whistleblowing</w:t>
      </w:r>
      <w:r>
        <w:t xml:space="preserve"> powinny </w:t>
      </w:r>
      <w:r w:rsidR="00D14568">
        <w:t>mieć</w:t>
      </w:r>
      <w:r>
        <w:t xml:space="preserve"> </w:t>
      </w:r>
      <w:r w:rsidR="00CB2541">
        <w:t>zastosowan</w:t>
      </w:r>
      <w:r w:rsidR="00D14568">
        <w:t>i</w:t>
      </w:r>
      <w:r w:rsidR="00CB2541">
        <w:t xml:space="preserve">e przepisy </w:t>
      </w:r>
      <w:r w:rsidR="002E3F17">
        <w:t>art. 53a ust. 1</w:t>
      </w:r>
      <w:r>
        <w:t xml:space="preserve"> i</w:t>
      </w:r>
      <w:r w:rsidR="002E3F17">
        <w:t xml:space="preserve"> 2</w:t>
      </w:r>
      <w:r>
        <w:t xml:space="preserve"> </w:t>
      </w:r>
      <w:r w:rsidR="00612DF1">
        <w:t>u</w:t>
      </w:r>
      <w:r>
        <w:t>stawy</w:t>
      </w:r>
      <w:r w:rsidR="00612DF1">
        <w:t xml:space="preserve"> AML</w:t>
      </w:r>
      <w:r w:rsidR="002E3F17">
        <w:t xml:space="preserve">, które mają zagwarantować pracownikom bezpośrednio odpowiedzialnym za przygotowanie zgłoszeń o transakcjach podejrzanych </w:t>
      </w:r>
      <w:r w:rsidR="00612DF1">
        <w:t xml:space="preserve">ochronę </w:t>
      </w:r>
      <w:r w:rsidR="002E3F17">
        <w:t>przed działaniami wymuszającymi nieprawidłową realizację zadań w tym zakresie</w:t>
      </w:r>
      <w:r>
        <w:t xml:space="preserve"> lub ich karanie</w:t>
      </w:r>
      <w:r w:rsidR="002E3F17">
        <w:t>.</w:t>
      </w:r>
      <w:r>
        <w:t xml:space="preserve"> Zgodnie z art. 53a ust. 3 </w:t>
      </w:r>
      <w:r w:rsidR="00612DF1">
        <w:t>u</w:t>
      </w:r>
      <w:r>
        <w:t>stawy</w:t>
      </w:r>
      <w:r w:rsidR="00612DF1">
        <w:t xml:space="preserve"> AML</w:t>
      </w:r>
      <w:r w:rsidR="00C65DE8">
        <w:t>,</w:t>
      </w:r>
      <w:r>
        <w:t xml:space="preserve"> osoby te w przypadku zetknięcia się z działaniami o charakterze represyjnym </w:t>
      </w:r>
      <w:r w:rsidR="00C74174">
        <w:t xml:space="preserve">lub wpływających </w:t>
      </w:r>
      <w:r w:rsidR="005D4F1A">
        <w:t>na pogorszenie ich sytuacji prawnej lub faktycznej, lub polegających na kierowaniu gróźb</w:t>
      </w:r>
      <w:r w:rsidR="00612DF1">
        <w:t xml:space="preserve"> mogą</w:t>
      </w:r>
      <w:r w:rsidR="005D4F1A">
        <w:t xml:space="preserve"> </w:t>
      </w:r>
      <w:r w:rsidR="00612DF1">
        <w:t>po</w:t>
      </w:r>
      <w:r w:rsidR="005D4F1A">
        <w:t>informowa</w:t>
      </w:r>
      <w:r w:rsidR="00612DF1">
        <w:t>ć</w:t>
      </w:r>
      <w:r w:rsidR="005D4F1A">
        <w:t xml:space="preserve"> o takich przypadkach GIIF.</w:t>
      </w:r>
    </w:p>
    <w:p w14:paraId="3C497DBC" w14:textId="76FB418F" w:rsidR="003D11D4" w:rsidRDefault="00AC22BA" w:rsidP="003D11D4">
      <w:pPr>
        <w:spacing w:before="120"/>
        <w:ind w:left="340"/>
        <w:rPr>
          <w:rFonts w:eastAsia="Calibri"/>
        </w:rPr>
      </w:pPr>
      <w:r w:rsidRPr="00612DF1">
        <w:rPr>
          <w:i/>
        </w:rPr>
        <w:t>Procedur</w:t>
      </w:r>
      <w:r>
        <w:rPr>
          <w:i/>
        </w:rPr>
        <w:t>a</w:t>
      </w:r>
      <w:r w:rsidRPr="00612DF1">
        <w:rPr>
          <w:i/>
        </w:rPr>
        <w:t xml:space="preserve"> whistleblowing</w:t>
      </w:r>
      <w:r>
        <w:t xml:space="preserve"> może być elementem </w:t>
      </w:r>
      <w:r w:rsidRPr="00AC22BA">
        <w:rPr>
          <w:i/>
        </w:rPr>
        <w:t>Procedury,</w:t>
      </w:r>
      <w:r>
        <w:t xml:space="preserve"> </w:t>
      </w:r>
      <w:r w:rsidR="00411387">
        <w:t xml:space="preserve">jak również </w:t>
      </w:r>
      <w:r>
        <w:t xml:space="preserve">może stanowić oddzielną regulację wewnętrzną. W przypadku, gdy </w:t>
      </w:r>
      <w:r w:rsidR="00FC003B">
        <w:t>KIP</w:t>
      </w:r>
      <w:r w:rsidR="00707E58">
        <w:t xml:space="preserve"> </w:t>
      </w:r>
      <w:r w:rsidR="00D348AC">
        <w:t xml:space="preserve">posiada oddzielną </w:t>
      </w:r>
      <w:r w:rsidR="00D348AC" w:rsidRPr="00612DF1">
        <w:rPr>
          <w:i/>
        </w:rPr>
        <w:t>Procedurę whistleblowing</w:t>
      </w:r>
      <w:r w:rsidR="00CB2541">
        <w:t xml:space="preserve">, </w:t>
      </w:r>
      <w:r>
        <w:t>powinna ona</w:t>
      </w:r>
      <w:r w:rsidR="008A4DB8">
        <w:t xml:space="preserve"> zawiera</w:t>
      </w:r>
      <w:r>
        <w:t>ć</w:t>
      </w:r>
      <w:r w:rsidR="008A4DB8">
        <w:t xml:space="preserve"> wskazane powyżej elementy i jednoznacznie </w:t>
      </w:r>
      <w:r w:rsidR="002131C0">
        <w:t>określać</w:t>
      </w:r>
      <w:r w:rsidR="008A4DB8">
        <w:t xml:space="preserve">, </w:t>
      </w:r>
      <w:r w:rsidR="00C65DE8">
        <w:t>ż</w:t>
      </w:r>
      <w:r w:rsidR="008A4DB8">
        <w:t>e odnosi</w:t>
      </w:r>
      <w:r w:rsidR="009F0651">
        <w:t xml:space="preserve"> się również do obszaru AML/CFT. R</w:t>
      </w:r>
      <w:r w:rsidR="009F0651">
        <w:rPr>
          <w:rFonts w:eastAsia="Calibri"/>
        </w:rPr>
        <w:t>egulacja ta powinna być załączona do wniosku o wydanie</w:t>
      </w:r>
      <w:r w:rsidR="00DC30CD">
        <w:rPr>
          <w:rFonts w:eastAsia="Calibri"/>
        </w:rPr>
        <w:t xml:space="preserve"> zezwolenia.</w:t>
      </w:r>
      <w:r w:rsidR="009F0651">
        <w:rPr>
          <w:rFonts w:eastAsia="Calibri"/>
        </w:rPr>
        <w:t xml:space="preserve"> </w:t>
      </w:r>
    </w:p>
    <w:p w14:paraId="200F156B" w14:textId="77777777" w:rsidR="000872E3" w:rsidRPr="00CE41C6" w:rsidRDefault="000872E3" w:rsidP="003D11D4">
      <w:pPr>
        <w:spacing w:before="120"/>
        <w:ind w:left="340"/>
        <w:rPr>
          <w:b/>
        </w:rPr>
      </w:pPr>
    </w:p>
    <w:p w14:paraId="44F2503C" w14:textId="3F0BF746" w:rsidR="00B819B0" w:rsidRPr="00CE41C6" w:rsidRDefault="004D35F4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>
        <w:rPr>
          <w:b/>
        </w:rPr>
        <w:lastRenderedPageBreak/>
        <w:t xml:space="preserve">kontroli </w:t>
      </w:r>
      <w:r w:rsidR="00B819B0" w:rsidRPr="00CE41C6">
        <w:rPr>
          <w:b/>
        </w:rPr>
        <w:t xml:space="preserve">wewnętrznej lub nadzoru zgodności działalności </w:t>
      </w:r>
      <w:r w:rsidR="00867D70">
        <w:rPr>
          <w:b/>
        </w:rPr>
        <w:t>KIP</w:t>
      </w:r>
      <w:r w:rsidR="00B819B0" w:rsidRPr="00CE41C6">
        <w:rPr>
          <w:b/>
        </w:rPr>
        <w:t xml:space="preserve"> z</w:t>
      </w:r>
      <w:r w:rsidR="00100B1D">
        <w:rPr>
          <w:b/>
        </w:rPr>
        <w:t xml:space="preserve"> </w:t>
      </w:r>
      <w:r w:rsidR="00B819B0" w:rsidRPr="00CE41C6">
        <w:rPr>
          <w:b/>
        </w:rPr>
        <w:t>przepisami o</w:t>
      </w:r>
      <w:r>
        <w:rPr>
          <w:b/>
        </w:rPr>
        <w:t> </w:t>
      </w:r>
      <w:r w:rsidR="00B819B0" w:rsidRPr="00CE41C6">
        <w:rPr>
          <w:b/>
        </w:rPr>
        <w:t xml:space="preserve">przeciwdziałaniu </w:t>
      </w:r>
      <w:r w:rsidR="00653E74">
        <w:rPr>
          <w:b/>
        </w:rPr>
        <w:t>ML/FT</w:t>
      </w:r>
      <w:r w:rsidR="00B819B0" w:rsidRPr="00CE41C6">
        <w:rPr>
          <w:b/>
        </w:rPr>
        <w:t xml:space="preserve"> oraz zasadami postępowania określonymi w wewnętrznej procedurze;</w:t>
      </w:r>
    </w:p>
    <w:p w14:paraId="1EFCEEC2" w14:textId="77777777" w:rsidR="00694F99" w:rsidRPr="00685BAF" w:rsidRDefault="008C4255" w:rsidP="003D11D4">
      <w:pPr>
        <w:spacing w:before="120"/>
        <w:ind w:left="340"/>
        <w:rPr>
          <w:rFonts w:eastAsia="Calibri"/>
          <w:szCs w:val="24"/>
        </w:rPr>
      </w:pPr>
      <w:r w:rsidRPr="003B0480">
        <w:rPr>
          <w:rFonts w:eastAsia="Calibri"/>
          <w:color w:val="000000"/>
          <w:szCs w:val="24"/>
        </w:rPr>
        <w:t>Ustaw</w:t>
      </w:r>
      <w:r w:rsidR="00653E74">
        <w:rPr>
          <w:rFonts w:eastAsia="Calibri"/>
          <w:color w:val="000000"/>
          <w:szCs w:val="24"/>
        </w:rPr>
        <w:t>a</w:t>
      </w:r>
      <w:r w:rsidRPr="00E320B7">
        <w:rPr>
          <w:rFonts w:eastAsia="Calibri"/>
          <w:color w:val="000000"/>
          <w:szCs w:val="24"/>
        </w:rPr>
        <w:t xml:space="preserve"> </w:t>
      </w:r>
      <w:r w:rsidR="009B380C">
        <w:rPr>
          <w:rFonts w:eastAsia="Calibri"/>
          <w:color w:val="000000"/>
          <w:szCs w:val="24"/>
        </w:rPr>
        <w:t xml:space="preserve">AML </w:t>
      </w:r>
      <w:r w:rsidRPr="00E320B7">
        <w:rPr>
          <w:rFonts w:eastAsia="Calibri"/>
          <w:color w:val="000000"/>
          <w:szCs w:val="24"/>
        </w:rPr>
        <w:t xml:space="preserve">zobowiązuje IO do określenia zasad kontroli wewnętrznej lub nadzoru zgodności działalności </w:t>
      </w:r>
      <w:r w:rsidR="00653E74">
        <w:rPr>
          <w:rFonts w:eastAsia="Calibri"/>
          <w:color w:val="000000"/>
          <w:szCs w:val="24"/>
        </w:rPr>
        <w:t xml:space="preserve">IO </w:t>
      </w:r>
      <w:r w:rsidRPr="00E320B7">
        <w:rPr>
          <w:rFonts w:eastAsia="Calibri"/>
          <w:color w:val="000000"/>
          <w:szCs w:val="24"/>
        </w:rPr>
        <w:t xml:space="preserve">z przepisami </w:t>
      </w:r>
      <w:r w:rsidR="006F78BB">
        <w:rPr>
          <w:rFonts w:eastAsia="Calibri"/>
          <w:color w:val="000000"/>
          <w:szCs w:val="24"/>
        </w:rPr>
        <w:t>AML/CFT</w:t>
      </w:r>
      <w:r>
        <w:rPr>
          <w:rFonts w:eastAsia="Calibri"/>
          <w:color w:val="000000"/>
          <w:szCs w:val="24"/>
        </w:rPr>
        <w:t xml:space="preserve"> </w:t>
      </w:r>
      <w:r w:rsidRPr="00E320B7">
        <w:rPr>
          <w:rFonts w:eastAsia="Calibri"/>
          <w:color w:val="000000"/>
          <w:szCs w:val="24"/>
        </w:rPr>
        <w:t>oraz zasadami postępowania</w:t>
      </w:r>
      <w:r w:rsidR="006F78BB">
        <w:rPr>
          <w:rFonts w:eastAsia="Calibri"/>
          <w:color w:val="000000"/>
          <w:szCs w:val="24"/>
        </w:rPr>
        <w:t>.</w:t>
      </w:r>
    </w:p>
    <w:p w14:paraId="6860549A" w14:textId="67FF3CD7" w:rsidR="00B14B23" w:rsidRPr="00034180" w:rsidRDefault="00694F99" w:rsidP="003D11D4">
      <w:pPr>
        <w:spacing w:before="120"/>
        <w:ind w:left="34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zależności od wielkości i charakteru działalności </w:t>
      </w:r>
      <w:r w:rsidR="00FC003B">
        <w:rPr>
          <w:rFonts w:eastAsia="Calibri"/>
          <w:color w:val="000000"/>
          <w:szCs w:val="24"/>
        </w:rPr>
        <w:t>KIP</w:t>
      </w:r>
      <w:r>
        <w:rPr>
          <w:rFonts w:eastAsia="Calibri"/>
          <w:color w:val="000000"/>
          <w:szCs w:val="24"/>
        </w:rPr>
        <w:t xml:space="preserve">, </w:t>
      </w:r>
      <w:r w:rsidR="00B14B23" w:rsidRPr="00AC37D3">
        <w:rPr>
          <w:rFonts w:eastAsia="Calibri"/>
          <w:i/>
          <w:color w:val="000000"/>
          <w:szCs w:val="24"/>
        </w:rPr>
        <w:t>Procedura</w:t>
      </w:r>
      <w:r w:rsidR="00B14B23">
        <w:rPr>
          <w:rFonts w:eastAsia="Calibri"/>
          <w:color w:val="000000"/>
          <w:szCs w:val="24"/>
        </w:rPr>
        <w:t xml:space="preserve"> powinna </w:t>
      </w:r>
      <w:r w:rsidR="00B14B23" w:rsidRPr="00034180">
        <w:rPr>
          <w:rFonts w:eastAsia="Calibri"/>
          <w:color w:val="000000"/>
          <w:szCs w:val="24"/>
        </w:rPr>
        <w:t>określać sposób, termin oraz zakres czynności kontrolnych (w tym</w:t>
      </w:r>
      <w:r w:rsidR="00414F65" w:rsidRPr="00034180">
        <w:rPr>
          <w:rFonts w:eastAsia="Calibri"/>
          <w:color w:val="000000"/>
          <w:szCs w:val="24"/>
        </w:rPr>
        <w:t xml:space="preserve"> kontroli</w:t>
      </w:r>
      <w:r w:rsidR="00B14B23" w:rsidRPr="00034180">
        <w:rPr>
          <w:rFonts w:eastAsia="Calibri"/>
          <w:color w:val="000000"/>
          <w:szCs w:val="24"/>
        </w:rPr>
        <w:t xml:space="preserve"> agentów) przeprowadzanych przez IO</w:t>
      </w:r>
      <w:r w:rsidR="00100B1D" w:rsidRPr="00034180">
        <w:rPr>
          <w:rFonts w:eastAsia="Calibri"/>
          <w:color w:val="000000"/>
          <w:szCs w:val="24"/>
        </w:rPr>
        <w:t xml:space="preserve"> </w:t>
      </w:r>
      <w:r w:rsidR="00B14B23" w:rsidRPr="00034180">
        <w:rPr>
          <w:rFonts w:eastAsia="Calibri"/>
          <w:color w:val="000000"/>
          <w:szCs w:val="24"/>
        </w:rPr>
        <w:t>w zakresie zapewnienia:</w:t>
      </w:r>
    </w:p>
    <w:p w14:paraId="529A86C3" w14:textId="77777777" w:rsidR="008C4255" w:rsidRPr="00CC1294" w:rsidRDefault="008C4255" w:rsidP="006E5D99">
      <w:pPr>
        <w:pStyle w:val="Akapitzlist"/>
        <w:numPr>
          <w:ilvl w:val="0"/>
          <w:numId w:val="5"/>
        </w:numPr>
        <w:spacing w:after="0"/>
        <w:ind w:left="680" w:hanging="357"/>
        <w:contextualSpacing/>
        <w:rPr>
          <w:color w:val="000000"/>
        </w:rPr>
      </w:pPr>
      <w:r w:rsidRPr="00CC1294">
        <w:rPr>
          <w:color w:val="000000"/>
        </w:rPr>
        <w:t>prawidłowości procedur</w:t>
      </w:r>
      <w:r w:rsidR="0054776B">
        <w:rPr>
          <w:color w:val="000000"/>
        </w:rPr>
        <w:t xml:space="preserve"> </w:t>
      </w:r>
      <w:r w:rsidRPr="00CC1294">
        <w:rPr>
          <w:color w:val="000000"/>
        </w:rPr>
        <w:t>oraz rzetelnego raportowania wewnętrznego i zewnętrznego,</w:t>
      </w:r>
    </w:p>
    <w:p w14:paraId="0D30D97C" w14:textId="60EF0394" w:rsidR="008C4255" w:rsidRPr="00CC1294" w:rsidRDefault="008C4255" w:rsidP="006E5D99">
      <w:pPr>
        <w:pStyle w:val="Akapitzlist"/>
        <w:numPr>
          <w:ilvl w:val="0"/>
          <w:numId w:val="5"/>
        </w:numPr>
        <w:spacing w:after="120"/>
        <w:ind w:left="680"/>
        <w:contextualSpacing/>
        <w:rPr>
          <w:color w:val="000000"/>
        </w:rPr>
      </w:pPr>
      <w:r w:rsidRPr="00CC1294">
        <w:rPr>
          <w:color w:val="000000"/>
        </w:rPr>
        <w:t xml:space="preserve">skuteczności i efektywności działania oraz zgodności działania z przepisami prawa </w:t>
      </w:r>
      <w:r w:rsidR="00F10A9D">
        <w:rPr>
          <w:color w:val="000000"/>
        </w:rPr>
        <w:br/>
      </w:r>
      <w:r w:rsidRPr="00CC1294">
        <w:rPr>
          <w:color w:val="000000"/>
        </w:rPr>
        <w:t>i regulacjami wewnętrznymi z uwzględnieniem rekomendacji nadzorczych i standardów rynkowych, przestrzegania zasad zarządzania ryzykiem.</w:t>
      </w:r>
    </w:p>
    <w:p w14:paraId="26141A14" w14:textId="0815A414" w:rsidR="008C4255" w:rsidRPr="00C95EB6" w:rsidRDefault="00B14B23" w:rsidP="00FD19EF">
      <w:pPr>
        <w:pStyle w:val="Podtytu"/>
        <w:ind w:left="340"/>
        <w:rPr>
          <w:rFonts w:eastAsia="Calibri"/>
        </w:rPr>
      </w:pPr>
      <w:r>
        <w:rPr>
          <w:rFonts w:eastAsia="Calibri"/>
        </w:rPr>
        <w:t>Zakres kontroli,</w:t>
      </w:r>
      <w:r w:rsidR="008C4255">
        <w:rPr>
          <w:rFonts w:eastAsia="Calibri"/>
        </w:rPr>
        <w:t xml:space="preserve"> </w:t>
      </w:r>
      <w:r>
        <w:rPr>
          <w:rFonts w:eastAsia="Calibri"/>
        </w:rPr>
        <w:t xml:space="preserve">w zależności od rozmiaru prowadzonej działalności, </w:t>
      </w:r>
      <w:r w:rsidR="008C4255" w:rsidRPr="00C95EB6">
        <w:rPr>
          <w:rFonts w:eastAsia="Calibri"/>
        </w:rPr>
        <w:t xml:space="preserve">powinien obejmować wszystkie poziomy w strukturze organizacyjnej </w:t>
      </w:r>
      <w:r w:rsidR="00FC003B">
        <w:rPr>
          <w:rFonts w:eastAsia="Calibri"/>
        </w:rPr>
        <w:t>KIP</w:t>
      </w:r>
      <w:r w:rsidR="00707E58">
        <w:rPr>
          <w:rFonts w:eastAsia="Calibri"/>
        </w:rPr>
        <w:t xml:space="preserve"> </w:t>
      </w:r>
      <w:r w:rsidR="002B2664">
        <w:rPr>
          <w:rFonts w:eastAsia="Calibri"/>
        </w:rPr>
        <w:t>(w tym agentów</w:t>
      </w:r>
      <w:r w:rsidR="00C36A42">
        <w:rPr>
          <w:rFonts w:eastAsia="Calibri"/>
        </w:rPr>
        <w:t xml:space="preserve"> i oddziały</w:t>
      </w:r>
      <w:r w:rsidR="002B2664">
        <w:rPr>
          <w:rFonts w:eastAsia="Calibri"/>
        </w:rPr>
        <w:t>)</w:t>
      </w:r>
      <w:r w:rsidR="00C8702D">
        <w:rPr>
          <w:rFonts w:eastAsia="Calibri"/>
        </w:rPr>
        <w:t>.</w:t>
      </w:r>
    </w:p>
    <w:p w14:paraId="6C39354C" w14:textId="10F8CD17" w:rsidR="008C4255" w:rsidRPr="00E320B7" w:rsidRDefault="00707E58" w:rsidP="00FD19EF">
      <w:pPr>
        <w:ind w:left="340"/>
        <w:rPr>
          <w:rFonts w:eastAsia="Calibri"/>
          <w:szCs w:val="24"/>
        </w:rPr>
      </w:pPr>
      <w:r>
        <w:rPr>
          <w:rFonts w:eastAsia="Calibri"/>
          <w:szCs w:val="24"/>
        </w:rPr>
        <w:t>Biorąc pod uwagę</w:t>
      </w:r>
      <w:r w:rsidR="008C4255" w:rsidRPr="00E320B7">
        <w:rPr>
          <w:rFonts w:eastAsia="Calibri"/>
          <w:szCs w:val="24"/>
        </w:rPr>
        <w:t xml:space="preserve"> stosowan</w:t>
      </w:r>
      <w:r>
        <w:rPr>
          <w:rFonts w:eastAsia="Calibri"/>
          <w:szCs w:val="24"/>
        </w:rPr>
        <w:t>e</w:t>
      </w:r>
      <w:r w:rsidR="008C4255" w:rsidRPr="00E320B7">
        <w:rPr>
          <w:rFonts w:eastAsia="Calibri"/>
          <w:szCs w:val="24"/>
        </w:rPr>
        <w:t xml:space="preserve"> prakty</w:t>
      </w:r>
      <w:r>
        <w:rPr>
          <w:rFonts w:eastAsia="Calibri"/>
          <w:szCs w:val="24"/>
        </w:rPr>
        <w:t>ki</w:t>
      </w:r>
      <w:r w:rsidR="008C4255" w:rsidRPr="00E320B7">
        <w:rPr>
          <w:rFonts w:eastAsia="Calibri"/>
          <w:szCs w:val="24"/>
        </w:rPr>
        <w:t xml:space="preserve"> rynkow</w:t>
      </w:r>
      <w:r>
        <w:rPr>
          <w:rFonts w:eastAsia="Calibri"/>
          <w:szCs w:val="24"/>
        </w:rPr>
        <w:t>e</w:t>
      </w:r>
      <w:r w:rsidR="008C4255" w:rsidRPr="00E320B7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zasadne jest</w:t>
      </w:r>
      <w:r w:rsidR="004F6EA5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aby </w:t>
      </w:r>
      <w:r w:rsidR="008C4255" w:rsidRPr="00E320B7">
        <w:rPr>
          <w:rFonts w:eastAsia="Calibri"/>
          <w:szCs w:val="24"/>
        </w:rPr>
        <w:t xml:space="preserve">podstawą funkcjonowania systemu kontroli wewnętrznej </w:t>
      </w:r>
      <w:r>
        <w:rPr>
          <w:rFonts w:eastAsia="Calibri"/>
          <w:szCs w:val="24"/>
        </w:rPr>
        <w:t>było</w:t>
      </w:r>
      <w:r w:rsidR="008C4255" w:rsidRPr="00E320B7">
        <w:rPr>
          <w:rFonts w:eastAsia="Calibri"/>
          <w:szCs w:val="24"/>
        </w:rPr>
        <w:t xml:space="preserve"> określenie obszarów zwiększonego ryzyka </w:t>
      </w:r>
      <w:r w:rsidR="008C4255" w:rsidRPr="00802EA2">
        <w:rPr>
          <w:rFonts w:eastAsia="Calibri"/>
          <w:szCs w:val="24"/>
        </w:rPr>
        <w:t>ML/FT w danym</w:t>
      </w:r>
      <w:r w:rsidR="008C4255" w:rsidRPr="00E320B7">
        <w:rPr>
          <w:rFonts w:eastAsia="Calibri"/>
          <w:szCs w:val="24"/>
        </w:rPr>
        <w:t xml:space="preserve"> </w:t>
      </w:r>
      <w:r w:rsidR="008C4255" w:rsidRPr="006B4B45">
        <w:rPr>
          <w:rFonts w:eastAsia="Calibri"/>
          <w:b/>
          <w:szCs w:val="24"/>
        </w:rPr>
        <w:t>procesie</w:t>
      </w:r>
      <w:r w:rsidR="008C4255" w:rsidRPr="00E320B7">
        <w:rPr>
          <w:rFonts w:eastAsia="Calibri"/>
          <w:szCs w:val="24"/>
        </w:rPr>
        <w:t>. Na podstawie określonego w ten sposób obszaru zwiększonego ryzyka możl</w:t>
      </w:r>
      <w:r w:rsidR="00AC37D3">
        <w:rPr>
          <w:rFonts w:eastAsia="Calibri"/>
          <w:szCs w:val="24"/>
        </w:rPr>
        <w:t>iwe jest racjonalne określenie</w:t>
      </w:r>
      <w:r w:rsidR="00C65DE8">
        <w:rPr>
          <w:rFonts w:eastAsia="Calibri"/>
          <w:szCs w:val="24"/>
        </w:rPr>
        <w:t>:</w:t>
      </w:r>
    </w:p>
    <w:p w14:paraId="69BEA21D" w14:textId="01534DFF" w:rsidR="008C4255" w:rsidRPr="00E320B7" w:rsidRDefault="008C4255" w:rsidP="006E5D99">
      <w:pPr>
        <w:numPr>
          <w:ilvl w:val="0"/>
          <w:numId w:val="6"/>
        </w:numPr>
        <w:spacing w:after="120"/>
        <w:ind w:left="680"/>
        <w:contextualSpacing/>
        <w:rPr>
          <w:szCs w:val="24"/>
        </w:rPr>
      </w:pPr>
      <w:r w:rsidRPr="00E320B7">
        <w:rPr>
          <w:szCs w:val="24"/>
        </w:rPr>
        <w:t xml:space="preserve">zakresu kontroli, z uwzględnieniem stopnia złożoności procesów funkcjonujących w </w:t>
      </w:r>
      <w:r w:rsidR="00FC003B">
        <w:rPr>
          <w:szCs w:val="24"/>
        </w:rPr>
        <w:t>KIP</w:t>
      </w:r>
      <w:r w:rsidRPr="00E320B7">
        <w:rPr>
          <w:szCs w:val="24"/>
        </w:rPr>
        <w:t>, przypadków zaistnienia nieprawidłowości w przeszłości oraz ryzyk</w:t>
      </w:r>
      <w:r w:rsidR="00C36A42">
        <w:rPr>
          <w:szCs w:val="24"/>
        </w:rPr>
        <w:t>a</w:t>
      </w:r>
      <w:r w:rsidRPr="00E320B7">
        <w:rPr>
          <w:szCs w:val="24"/>
        </w:rPr>
        <w:t xml:space="preserve"> zaistnienia nieprawidłowości</w:t>
      </w:r>
      <w:r>
        <w:rPr>
          <w:szCs w:val="24"/>
        </w:rPr>
        <w:t xml:space="preserve"> w przyszłości</w:t>
      </w:r>
      <w:r w:rsidRPr="00E320B7">
        <w:rPr>
          <w:szCs w:val="24"/>
        </w:rPr>
        <w:t>,</w:t>
      </w:r>
    </w:p>
    <w:p w14:paraId="515E15F7" w14:textId="73E3D506" w:rsidR="008C4255" w:rsidRPr="00E320B7" w:rsidRDefault="008C4255" w:rsidP="006E5D99">
      <w:pPr>
        <w:numPr>
          <w:ilvl w:val="0"/>
          <w:numId w:val="6"/>
        </w:numPr>
        <w:spacing w:after="80"/>
        <w:ind w:left="680" w:hanging="357"/>
        <w:rPr>
          <w:szCs w:val="24"/>
        </w:rPr>
      </w:pPr>
      <w:r w:rsidRPr="00E320B7">
        <w:rPr>
          <w:szCs w:val="24"/>
        </w:rPr>
        <w:t xml:space="preserve">optymalnej częstotliwości (planu) kontroli, uzależnionej od powyższych czynników ryzyka </w:t>
      </w:r>
      <w:r w:rsidR="00FF4B89">
        <w:rPr>
          <w:szCs w:val="24"/>
        </w:rPr>
        <w:br/>
      </w:r>
      <w:r w:rsidRPr="00E320B7">
        <w:rPr>
          <w:szCs w:val="24"/>
        </w:rPr>
        <w:t>i</w:t>
      </w:r>
      <w:r w:rsidR="00100B1D">
        <w:rPr>
          <w:szCs w:val="24"/>
        </w:rPr>
        <w:t xml:space="preserve"> </w:t>
      </w:r>
      <w:r w:rsidRPr="00E320B7">
        <w:rPr>
          <w:szCs w:val="24"/>
        </w:rPr>
        <w:t xml:space="preserve">stopnia złożoności procesów funkcjonujących w </w:t>
      </w:r>
      <w:r w:rsidR="00FC003B">
        <w:rPr>
          <w:szCs w:val="24"/>
        </w:rPr>
        <w:t>KIP</w:t>
      </w:r>
      <w:r w:rsidRPr="00E320B7">
        <w:rPr>
          <w:szCs w:val="24"/>
        </w:rPr>
        <w:t xml:space="preserve"> oraz rodzaju kluczowych mechanizmów kontrolnych.</w:t>
      </w:r>
    </w:p>
    <w:p w14:paraId="217D7FFF" w14:textId="1A5B8FBE" w:rsidR="008C4255" w:rsidRDefault="00FC003B" w:rsidP="00034180">
      <w:pPr>
        <w:pStyle w:val="Podtytu"/>
        <w:spacing w:before="120" w:after="0"/>
        <w:ind w:left="340"/>
        <w:rPr>
          <w:rFonts w:eastAsia="Calibri"/>
        </w:rPr>
      </w:pPr>
      <w:r>
        <w:rPr>
          <w:rFonts w:eastAsia="Calibri"/>
        </w:rPr>
        <w:t>KIP</w:t>
      </w:r>
      <w:r w:rsidR="008C4255">
        <w:rPr>
          <w:rFonts w:eastAsia="Calibri"/>
        </w:rPr>
        <w:t xml:space="preserve"> </w:t>
      </w:r>
      <w:r w:rsidR="008C4255" w:rsidRPr="00E320B7">
        <w:rPr>
          <w:rFonts w:eastAsia="Calibri"/>
        </w:rPr>
        <w:t xml:space="preserve">powinna opracować zasady kategoryzacji, dokumentowania i raportowania </w:t>
      </w:r>
      <w:r w:rsidR="00FF4B89">
        <w:rPr>
          <w:rFonts w:eastAsia="Calibri"/>
        </w:rPr>
        <w:br/>
      </w:r>
      <w:r w:rsidR="008C4255" w:rsidRPr="00E320B7">
        <w:rPr>
          <w:rFonts w:eastAsia="Calibri"/>
        </w:rPr>
        <w:t>o</w:t>
      </w:r>
      <w:r w:rsidR="00100B1D">
        <w:rPr>
          <w:rFonts w:eastAsia="Calibri"/>
        </w:rPr>
        <w:t xml:space="preserve"> </w:t>
      </w:r>
      <w:r w:rsidR="008C4255" w:rsidRPr="00E320B7">
        <w:rPr>
          <w:rFonts w:eastAsia="Calibri"/>
        </w:rPr>
        <w:t xml:space="preserve">nieprawidłowościach wykrytych przez </w:t>
      </w:r>
      <w:r w:rsidR="002B2664">
        <w:rPr>
          <w:rFonts w:eastAsia="Calibri"/>
        </w:rPr>
        <w:t>kontrolę</w:t>
      </w:r>
      <w:r w:rsidR="008C4255">
        <w:rPr>
          <w:rFonts w:eastAsia="Calibri"/>
        </w:rPr>
        <w:t xml:space="preserve"> </w:t>
      </w:r>
      <w:r w:rsidR="008C4255" w:rsidRPr="00E320B7">
        <w:rPr>
          <w:rFonts w:eastAsia="Calibri"/>
        </w:rPr>
        <w:t>oraz o statusie realizacji środków naprawczych i</w:t>
      </w:r>
      <w:r w:rsidR="00100B1D">
        <w:rPr>
          <w:rFonts w:eastAsia="Calibri"/>
        </w:rPr>
        <w:t xml:space="preserve"> </w:t>
      </w:r>
      <w:r w:rsidR="008C4255" w:rsidRPr="00E320B7">
        <w:rPr>
          <w:rFonts w:eastAsia="Calibri"/>
        </w:rPr>
        <w:t>dyscyplinujących.</w:t>
      </w:r>
    </w:p>
    <w:p w14:paraId="66A41640" w14:textId="45A61921" w:rsidR="00034180" w:rsidRPr="00034180" w:rsidRDefault="00034180" w:rsidP="00034180">
      <w:pPr>
        <w:spacing w:before="120"/>
        <w:ind w:left="340"/>
        <w:rPr>
          <w:rFonts w:eastAsia="Calibri"/>
        </w:rPr>
      </w:pPr>
      <w:r w:rsidRPr="007C4230">
        <w:rPr>
          <w:rFonts w:eastAsia="Calibri"/>
        </w:rPr>
        <w:t xml:space="preserve">W przypadku </w:t>
      </w:r>
      <w:r w:rsidR="00FC003B">
        <w:rPr>
          <w:rFonts w:eastAsia="Calibri"/>
        </w:rPr>
        <w:t>KIP</w:t>
      </w:r>
      <w:r w:rsidRPr="007C4230">
        <w:rPr>
          <w:rFonts w:eastAsia="Calibri"/>
        </w:rPr>
        <w:t xml:space="preserve"> posiadających </w:t>
      </w:r>
      <w:r w:rsidR="007C4230" w:rsidRPr="007C4230">
        <w:rPr>
          <w:rFonts w:eastAsia="Calibri"/>
        </w:rPr>
        <w:t xml:space="preserve">sformalizowany </w:t>
      </w:r>
      <w:r w:rsidRPr="007C4230">
        <w:rPr>
          <w:rFonts w:eastAsia="Calibri"/>
        </w:rPr>
        <w:t>system kontroli i audyt</w:t>
      </w:r>
      <w:r w:rsidR="006F78BB" w:rsidRPr="007C4230">
        <w:rPr>
          <w:rFonts w:eastAsia="Calibri"/>
        </w:rPr>
        <w:t>u</w:t>
      </w:r>
      <w:r w:rsidRPr="007C4230">
        <w:rPr>
          <w:rFonts w:eastAsia="Calibri"/>
        </w:rPr>
        <w:t xml:space="preserve"> </w:t>
      </w:r>
      <w:r w:rsidR="00274C23">
        <w:rPr>
          <w:rFonts w:eastAsia="Calibri"/>
        </w:rPr>
        <w:t xml:space="preserve">w obszarze AML/CFT, </w:t>
      </w:r>
      <w:r w:rsidRPr="007C4230">
        <w:rPr>
          <w:rFonts w:eastAsia="Calibri"/>
        </w:rPr>
        <w:t xml:space="preserve">w </w:t>
      </w:r>
      <w:r w:rsidR="007C4230" w:rsidRPr="007C4230">
        <w:rPr>
          <w:rFonts w:eastAsia="Calibri"/>
          <w:i/>
        </w:rPr>
        <w:t>Procedurze</w:t>
      </w:r>
      <w:r w:rsidR="006F78BB" w:rsidRPr="007C4230">
        <w:rPr>
          <w:rFonts w:eastAsia="Calibri"/>
          <w:i/>
        </w:rPr>
        <w:t xml:space="preserve"> </w:t>
      </w:r>
      <w:r w:rsidRPr="007C4230">
        <w:rPr>
          <w:rFonts w:eastAsia="Calibri"/>
        </w:rPr>
        <w:t>wystarczy odesłanie do regulacji wewnętrznych</w:t>
      </w:r>
      <w:r w:rsidR="007C4230" w:rsidRPr="007C4230">
        <w:rPr>
          <w:rFonts w:eastAsia="Calibri"/>
        </w:rPr>
        <w:t xml:space="preserve"> w tym zakresie</w:t>
      </w:r>
      <w:r w:rsidRPr="007C4230">
        <w:rPr>
          <w:rFonts w:eastAsia="Calibri"/>
        </w:rPr>
        <w:t>.</w:t>
      </w:r>
      <w:r w:rsidR="00C36A42">
        <w:rPr>
          <w:rFonts w:eastAsia="Calibri"/>
        </w:rPr>
        <w:t xml:space="preserve"> Jednakże regulacje te powinny być także załączone do wniosku o wydanie zezwolenia na świadczenie usług płatniczych w charakterze krajowej instytucji płatniczej.</w:t>
      </w:r>
    </w:p>
    <w:p w14:paraId="3FF6936E" w14:textId="77777777" w:rsidR="00B819B0" w:rsidRPr="00CE41C6" w:rsidRDefault="00B819B0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 w:rsidRPr="00CE41C6">
        <w:rPr>
          <w:b/>
        </w:rPr>
        <w:t>zasa</w:t>
      </w:r>
      <w:r w:rsidR="00AC37D3">
        <w:rPr>
          <w:b/>
        </w:rPr>
        <w:t>d odnotowywania rozbieżności mię</w:t>
      </w:r>
      <w:r w:rsidRPr="00CE41C6">
        <w:rPr>
          <w:b/>
        </w:rPr>
        <w:t xml:space="preserve">dzy informacjami w Centralnym Rejestrze Beneficjentów Rzeczywistych </w:t>
      </w:r>
      <w:r w:rsidR="00193F32">
        <w:rPr>
          <w:b/>
        </w:rPr>
        <w:t xml:space="preserve">(CRBR) </w:t>
      </w:r>
      <w:r w:rsidRPr="00CE41C6">
        <w:rPr>
          <w:b/>
        </w:rPr>
        <w:t xml:space="preserve">a informacjami o beneficjentach rzeczywistych klienta ustalonymi </w:t>
      </w:r>
      <w:r w:rsidR="00CE41C6">
        <w:rPr>
          <w:b/>
        </w:rPr>
        <w:t>w związku ze stosowaniem ustawy</w:t>
      </w:r>
      <w:r w:rsidR="00193F32">
        <w:rPr>
          <w:b/>
        </w:rPr>
        <w:t xml:space="preserve"> AML</w:t>
      </w:r>
      <w:r w:rsidR="00CE41C6">
        <w:rPr>
          <w:b/>
        </w:rPr>
        <w:t>;</w:t>
      </w:r>
    </w:p>
    <w:p w14:paraId="7182B84D" w14:textId="3242BC4F" w:rsidR="00927E60" w:rsidRDefault="004136C0" w:rsidP="00CE41C6">
      <w:pPr>
        <w:spacing w:before="120"/>
        <w:ind w:left="360"/>
        <w:rPr>
          <w:szCs w:val="24"/>
        </w:rPr>
      </w:pPr>
      <w:r w:rsidRPr="004136C0">
        <w:rPr>
          <w:szCs w:val="24"/>
        </w:rPr>
        <w:t>I</w:t>
      </w:r>
      <w:r w:rsidR="00193F32">
        <w:rPr>
          <w:szCs w:val="24"/>
        </w:rPr>
        <w:t>O</w:t>
      </w:r>
      <w:r w:rsidRPr="004136C0">
        <w:rPr>
          <w:szCs w:val="24"/>
        </w:rPr>
        <w:t xml:space="preserve">, zgodnie z art. 61a ust. 1 </w:t>
      </w:r>
      <w:r w:rsidR="00AC37D3">
        <w:rPr>
          <w:szCs w:val="24"/>
        </w:rPr>
        <w:t>u</w:t>
      </w:r>
      <w:r w:rsidRPr="004136C0">
        <w:rPr>
          <w:szCs w:val="24"/>
        </w:rPr>
        <w:t>stawy</w:t>
      </w:r>
      <w:r w:rsidR="00AC37D3">
        <w:rPr>
          <w:szCs w:val="24"/>
        </w:rPr>
        <w:t xml:space="preserve"> AML</w:t>
      </w:r>
      <w:r w:rsidRPr="004136C0">
        <w:rPr>
          <w:szCs w:val="24"/>
        </w:rPr>
        <w:t xml:space="preserve">, odnotowuje rozbieżności między informacjami zgromadzonymi w CRBR a ustalonymi przez nią informacjami o beneficjencie rzeczywistym klienta i podejmuje czynności w celu wyjaśnienia przyczyn tych rozbieżności. </w:t>
      </w:r>
    </w:p>
    <w:p w14:paraId="3EE55DE8" w14:textId="65AE88B8" w:rsidR="00A33FD1" w:rsidRDefault="00762EED" w:rsidP="00AC37D3">
      <w:pPr>
        <w:spacing w:before="120"/>
        <w:ind w:left="360"/>
        <w:rPr>
          <w:szCs w:val="24"/>
        </w:rPr>
      </w:pPr>
      <w:r>
        <w:rPr>
          <w:szCs w:val="24"/>
        </w:rPr>
        <w:lastRenderedPageBreak/>
        <w:t xml:space="preserve">Kwestie </w:t>
      </w:r>
      <w:r w:rsidR="00193F32">
        <w:rPr>
          <w:szCs w:val="24"/>
        </w:rPr>
        <w:t>w tym zakresie</w:t>
      </w:r>
      <w:r w:rsidR="006F78BB">
        <w:rPr>
          <w:szCs w:val="24"/>
        </w:rPr>
        <w:t xml:space="preserve"> </w:t>
      </w:r>
      <w:r>
        <w:rPr>
          <w:szCs w:val="24"/>
        </w:rPr>
        <w:t xml:space="preserve">zostały omówione w </w:t>
      </w:r>
      <w:r w:rsidR="00FC2EE0">
        <w:rPr>
          <w:szCs w:val="24"/>
        </w:rPr>
        <w:t>Komuni</w:t>
      </w:r>
      <w:r w:rsidR="00DD3BAC">
        <w:rPr>
          <w:szCs w:val="24"/>
        </w:rPr>
        <w:t>k</w:t>
      </w:r>
      <w:r w:rsidR="00FC2EE0">
        <w:rPr>
          <w:szCs w:val="24"/>
        </w:rPr>
        <w:t>a</w:t>
      </w:r>
      <w:r>
        <w:rPr>
          <w:szCs w:val="24"/>
        </w:rPr>
        <w:t>cie</w:t>
      </w:r>
      <w:r w:rsidR="00FC2EE0">
        <w:rPr>
          <w:szCs w:val="24"/>
        </w:rPr>
        <w:t xml:space="preserve"> nr 37 </w:t>
      </w:r>
      <w:r w:rsidR="00FC2EE0" w:rsidRPr="0047043A">
        <w:rPr>
          <w:i/>
          <w:szCs w:val="24"/>
        </w:rPr>
        <w:t>w sprawie zasad odnotowywania rozbieżności między informacjami zgromadzonymi w CRBR a ustalonymi przez instytucję obowiązaną o beneficjencie rzeczywistym</w:t>
      </w:r>
      <w:r w:rsidR="0047043A" w:rsidRPr="00D64465">
        <w:rPr>
          <w:rStyle w:val="Odwoanieprzypisudolnego"/>
          <w:szCs w:val="24"/>
        </w:rPr>
        <w:footnoteReference w:id="22"/>
      </w:r>
      <w:r w:rsidR="00653E74">
        <w:rPr>
          <w:i/>
          <w:szCs w:val="24"/>
        </w:rPr>
        <w:t>.</w:t>
      </w:r>
      <w:r w:rsidR="00100B1D">
        <w:rPr>
          <w:szCs w:val="24"/>
        </w:rPr>
        <w:t xml:space="preserve"> </w:t>
      </w:r>
    </w:p>
    <w:p w14:paraId="0050518C" w14:textId="04B16316" w:rsidR="00D658A2" w:rsidRPr="00215C44" w:rsidRDefault="00762EED" w:rsidP="00AC37D3">
      <w:pPr>
        <w:spacing w:before="120"/>
        <w:ind w:left="360"/>
        <w:rPr>
          <w:szCs w:val="24"/>
        </w:rPr>
      </w:pPr>
      <w:r w:rsidRPr="00215C44">
        <w:rPr>
          <w:szCs w:val="24"/>
        </w:rPr>
        <w:t>Z</w:t>
      </w:r>
      <w:r w:rsidR="00D658A2" w:rsidRPr="00215C44">
        <w:rPr>
          <w:szCs w:val="24"/>
        </w:rPr>
        <w:t xml:space="preserve">asady odnotowywania rozbieżności między informacjami zgromadzonymi w CRBR </w:t>
      </w:r>
      <w:r w:rsidR="00F10A9D">
        <w:rPr>
          <w:szCs w:val="24"/>
        </w:rPr>
        <w:br/>
      </w:r>
      <w:r w:rsidR="00D658A2" w:rsidRPr="00215C44">
        <w:rPr>
          <w:szCs w:val="24"/>
        </w:rPr>
        <w:t>a ustalonymi o beneficjencie rzeczywistym</w:t>
      </w:r>
      <w:r w:rsidRPr="00215C44">
        <w:rPr>
          <w:szCs w:val="24"/>
        </w:rPr>
        <w:t xml:space="preserve"> powinny</w:t>
      </w:r>
      <w:r w:rsidR="006C51A8" w:rsidRPr="00215C44">
        <w:rPr>
          <w:szCs w:val="24"/>
        </w:rPr>
        <w:t xml:space="preserve"> określać</w:t>
      </w:r>
      <w:r w:rsidR="00193F32">
        <w:rPr>
          <w:szCs w:val="24"/>
        </w:rPr>
        <w:t>:</w:t>
      </w:r>
    </w:p>
    <w:p w14:paraId="2455072E" w14:textId="1EC60C1B" w:rsidR="00805836" w:rsidRPr="0039553E" w:rsidRDefault="00D658A2" w:rsidP="006E5D99">
      <w:pPr>
        <w:pStyle w:val="Akapitzlist"/>
        <w:numPr>
          <w:ilvl w:val="0"/>
          <w:numId w:val="8"/>
        </w:numPr>
        <w:spacing w:after="0"/>
        <w:ind w:left="700"/>
        <w:rPr>
          <w:szCs w:val="24"/>
        </w:rPr>
      </w:pPr>
      <w:r w:rsidRPr="0039553E">
        <w:rPr>
          <w:szCs w:val="24"/>
        </w:rPr>
        <w:t xml:space="preserve">jakiego rodzaju czynności powinny zostać podjęte w celu wyjaśnienia rozbieżności </w:t>
      </w:r>
      <w:r w:rsidR="00215C44" w:rsidRPr="0039553E">
        <w:rPr>
          <w:szCs w:val="24"/>
        </w:rPr>
        <w:t xml:space="preserve">(np. </w:t>
      </w:r>
      <w:r w:rsidR="00822D76" w:rsidRPr="0039553E">
        <w:rPr>
          <w:szCs w:val="24"/>
        </w:rPr>
        <w:t>kontakt</w:t>
      </w:r>
      <w:r w:rsidR="00215C44">
        <w:t xml:space="preserve"> z klientem, wyjaśni</w:t>
      </w:r>
      <w:r w:rsidR="00822D76">
        <w:t>enie</w:t>
      </w:r>
      <w:r w:rsidR="00215C44" w:rsidRPr="00341761">
        <w:t xml:space="preserve"> spos</w:t>
      </w:r>
      <w:r w:rsidR="00822D76">
        <w:t>o</w:t>
      </w:r>
      <w:r w:rsidR="00215C44">
        <w:t>b</w:t>
      </w:r>
      <w:r w:rsidR="00822D76">
        <w:t>u</w:t>
      </w:r>
      <w:r w:rsidR="00215C44" w:rsidRPr="00341761">
        <w:t xml:space="preserve"> ustalenia struktury własności i kontroli przez klienta, wyjaśni</w:t>
      </w:r>
      <w:r w:rsidR="00822D76">
        <w:t>enie</w:t>
      </w:r>
      <w:r w:rsidR="00215C44" w:rsidRPr="00341761">
        <w:t>, czy sposób ustalenia beneficjenta rzeczywistego przez instytucję obo</w:t>
      </w:r>
      <w:r w:rsidR="00215C44">
        <w:t>wiązaną był prawidłowy, wyjaśni</w:t>
      </w:r>
      <w:r w:rsidR="00822D76">
        <w:t>enie</w:t>
      </w:r>
      <w:r w:rsidR="00215C44" w:rsidRPr="00341761">
        <w:t xml:space="preserve"> z jakiego powodu klient uznał daną osobę za beneficjenta rzeczywistego, wskaza</w:t>
      </w:r>
      <w:r w:rsidR="00822D76">
        <w:t>nie</w:t>
      </w:r>
      <w:r w:rsidR="00215C44" w:rsidRPr="00341761">
        <w:t xml:space="preserve"> termin</w:t>
      </w:r>
      <w:r w:rsidR="00193F32">
        <w:t>u,</w:t>
      </w:r>
      <w:r w:rsidR="00215C44" w:rsidRPr="00341761">
        <w:t xml:space="preserve"> w jakim powinny być podjęte i zakończone czynności </w:t>
      </w:r>
      <w:r w:rsidR="0039553E">
        <w:br/>
      </w:r>
      <w:r w:rsidR="00215C44" w:rsidRPr="00341761">
        <w:t>w celu wyjaśnienia przyczyn rozbieżności oraz osoby odpowiedzialne</w:t>
      </w:r>
      <w:r w:rsidR="003D11D4">
        <w:t>),</w:t>
      </w:r>
    </w:p>
    <w:p w14:paraId="6D0146B4" w14:textId="101EEE2B" w:rsidR="00927E60" w:rsidRPr="00215C44" w:rsidRDefault="00944DE2" w:rsidP="006E5D99">
      <w:pPr>
        <w:pStyle w:val="Akapitzlist"/>
        <w:numPr>
          <w:ilvl w:val="0"/>
          <w:numId w:val="8"/>
        </w:numPr>
        <w:spacing w:after="0"/>
        <w:ind w:left="700"/>
        <w:rPr>
          <w:szCs w:val="24"/>
        </w:rPr>
      </w:pPr>
      <w:r w:rsidRPr="00215C44">
        <w:rPr>
          <w:szCs w:val="24"/>
        </w:rPr>
        <w:t>s</w:t>
      </w:r>
      <w:r w:rsidR="00BD4556" w:rsidRPr="00215C44">
        <w:rPr>
          <w:szCs w:val="24"/>
        </w:rPr>
        <w:t>posób p</w:t>
      </w:r>
      <w:r w:rsidR="002B6DA2" w:rsidRPr="00215C44">
        <w:rPr>
          <w:szCs w:val="24"/>
        </w:rPr>
        <w:t>otwierdz</w:t>
      </w:r>
      <w:r w:rsidR="00BD4556" w:rsidRPr="00215C44">
        <w:rPr>
          <w:szCs w:val="24"/>
        </w:rPr>
        <w:t>enia</w:t>
      </w:r>
      <w:r w:rsidR="00FD3A34" w:rsidRPr="00215C44">
        <w:rPr>
          <w:szCs w:val="24"/>
        </w:rPr>
        <w:t xml:space="preserve"> odnotow</w:t>
      </w:r>
      <w:r w:rsidR="00BD4556" w:rsidRPr="00215C44">
        <w:rPr>
          <w:szCs w:val="24"/>
        </w:rPr>
        <w:t>yw</w:t>
      </w:r>
      <w:r w:rsidR="00FD3A34" w:rsidRPr="00215C44">
        <w:rPr>
          <w:szCs w:val="24"/>
        </w:rPr>
        <w:t>an</w:t>
      </w:r>
      <w:r w:rsidR="00BD4556" w:rsidRPr="00215C44">
        <w:rPr>
          <w:szCs w:val="24"/>
        </w:rPr>
        <w:t>ia</w:t>
      </w:r>
      <w:r w:rsidR="00FD3A34" w:rsidRPr="00215C44">
        <w:rPr>
          <w:szCs w:val="24"/>
        </w:rPr>
        <w:t xml:space="preserve"> rozbieżności</w:t>
      </w:r>
      <w:r w:rsidR="002B6DA2" w:rsidRPr="00215C44">
        <w:rPr>
          <w:szCs w:val="24"/>
        </w:rPr>
        <w:t xml:space="preserve"> </w:t>
      </w:r>
      <w:r w:rsidR="00215C44">
        <w:rPr>
          <w:szCs w:val="24"/>
        </w:rPr>
        <w:t xml:space="preserve">(np. </w:t>
      </w:r>
      <w:r w:rsidR="00215C44" w:rsidRPr="00B956C1">
        <w:rPr>
          <w:szCs w:val="24"/>
        </w:rPr>
        <w:t xml:space="preserve">potwierdzenie, że </w:t>
      </w:r>
      <w:r w:rsidR="00FC003B">
        <w:rPr>
          <w:szCs w:val="24"/>
        </w:rPr>
        <w:t>KIP</w:t>
      </w:r>
      <w:r w:rsidR="00215C44" w:rsidRPr="00B956C1">
        <w:rPr>
          <w:szCs w:val="24"/>
        </w:rPr>
        <w:t xml:space="preserve"> nie popełniła błędu podczas ustalania beneficjenta rzeczywistego, że informacja zawarta w CRBR nie jest prawidłowa, ustal</w:t>
      </w:r>
      <w:r w:rsidR="0039553E">
        <w:rPr>
          <w:szCs w:val="24"/>
        </w:rPr>
        <w:t>enie</w:t>
      </w:r>
      <w:r w:rsidR="00215C44" w:rsidRPr="00B956C1">
        <w:rPr>
          <w:szCs w:val="24"/>
        </w:rPr>
        <w:t xml:space="preserve"> czy rozbieżność ma charakter pozorny czy faktyczny</w:t>
      </w:r>
      <w:r w:rsidR="00215C44">
        <w:rPr>
          <w:szCs w:val="24"/>
        </w:rPr>
        <w:t>)</w:t>
      </w:r>
      <w:r w:rsidR="003D11D4">
        <w:rPr>
          <w:szCs w:val="24"/>
        </w:rPr>
        <w:t>,</w:t>
      </w:r>
    </w:p>
    <w:p w14:paraId="65024B31" w14:textId="491A1976" w:rsidR="00B956C1" w:rsidRDefault="00B03D2A" w:rsidP="006E5D99">
      <w:pPr>
        <w:pStyle w:val="Akapitzlist"/>
        <w:numPr>
          <w:ilvl w:val="0"/>
          <w:numId w:val="8"/>
        </w:numPr>
        <w:ind w:left="700"/>
        <w:rPr>
          <w:szCs w:val="24"/>
        </w:rPr>
      </w:pPr>
      <w:r>
        <w:rPr>
          <w:szCs w:val="24"/>
        </w:rPr>
        <w:t>s</w:t>
      </w:r>
      <w:r w:rsidR="006C51A8" w:rsidRPr="00944DE2">
        <w:rPr>
          <w:szCs w:val="24"/>
        </w:rPr>
        <w:t>posób s</w:t>
      </w:r>
      <w:r w:rsidR="00FD3A34" w:rsidRPr="00944DE2">
        <w:rPr>
          <w:szCs w:val="24"/>
        </w:rPr>
        <w:t>porządz</w:t>
      </w:r>
      <w:r w:rsidR="006C51A8" w:rsidRPr="00944DE2">
        <w:rPr>
          <w:szCs w:val="24"/>
        </w:rPr>
        <w:t>enia</w:t>
      </w:r>
      <w:r w:rsidR="00AC37D3">
        <w:rPr>
          <w:szCs w:val="24"/>
        </w:rPr>
        <w:t xml:space="preserve"> uzasadnienia</w:t>
      </w:r>
      <w:r w:rsidR="00FD3A34" w:rsidRPr="00944DE2">
        <w:rPr>
          <w:szCs w:val="24"/>
        </w:rPr>
        <w:t xml:space="preserve"> rozbieżności </w:t>
      </w:r>
      <w:r w:rsidR="00215C44">
        <w:rPr>
          <w:szCs w:val="24"/>
        </w:rPr>
        <w:t>(np. udokumentowa</w:t>
      </w:r>
      <w:r w:rsidR="0039553E">
        <w:rPr>
          <w:szCs w:val="24"/>
        </w:rPr>
        <w:t>nie czynności podejmowanych</w:t>
      </w:r>
      <w:r w:rsidR="00215C44">
        <w:rPr>
          <w:szCs w:val="24"/>
        </w:rPr>
        <w:t xml:space="preserve"> przez </w:t>
      </w:r>
      <w:r w:rsidR="00FC003B">
        <w:rPr>
          <w:szCs w:val="24"/>
        </w:rPr>
        <w:t>KIP</w:t>
      </w:r>
      <w:r w:rsidR="00215C44">
        <w:rPr>
          <w:szCs w:val="24"/>
        </w:rPr>
        <w:t xml:space="preserve">, </w:t>
      </w:r>
      <w:r w:rsidR="005665BC">
        <w:rPr>
          <w:szCs w:val="24"/>
        </w:rPr>
        <w:t>wskaza</w:t>
      </w:r>
      <w:r w:rsidR="0039553E">
        <w:rPr>
          <w:szCs w:val="24"/>
        </w:rPr>
        <w:t>nie</w:t>
      </w:r>
      <w:r w:rsidR="005665BC">
        <w:rPr>
          <w:szCs w:val="24"/>
        </w:rPr>
        <w:t xml:space="preserve"> </w:t>
      </w:r>
      <w:r w:rsidR="00215C44">
        <w:rPr>
          <w:szCs w:val="24"/>
        </w:rPr>
        <w:t>jakie informacje i dokumenty były podstawą do ustalenia beneficjenta rzeczywistego</w:t>
      </w:r>
      <w:r w:rsidR="005665BC">
        <w:rPr>
          <w:szCs w:val="24"/>
        </w:rPr>
        <w:t>, z jakich powodów uznała</w:t>
      </w:r>
      <w:r w:rsidR="00594829">
        <w:rPr>
          <w:szCs w:val="24"/>
        </w:rPr>
        <w:t xml:space="preserve"> ona</w:t>
      </w:r>
      <w:r w:rsidR="005665BC">
        <w:rPr>
          <w:szCs w:val="24"/>
        </w:rPr>
        <w:t>, że rozbieżności mają charakter faktyczny).</w:t>
      </w:r>
    </w:p>
    <w:p w14:paraId="240B94E8" w14:textId="2EFA8F74" w:rsidR="00A33FD1" w:rsidRDefault="004136C0" w:rsidP="00B03D2A">
      <w:pPr>
        <w:spacing w:before="120"/>
        <w:ind w:left="360"/>
        <w:rPr>
          <w:szCs w:val="24"/>
        </w:rPr>
      </w:pPr>
      <w:r w:rsidRPr="004136C0">
        <w:rPr>
          <w:szCs w:val="24"/>
        </w:rPr>
        <w:t>W</w:t>
      </w:r>
      <w:r w:rsidR="00100B1D">
        <w:rPr>
          <w:szCs w:val="24"/>
        </w:rPr>
        <w:t xml:space="preserve"> </w:t>
      </w:r>
      <w:r w:rsidRPr="004136C0">
        <w:rPr>
          <w:szCs w:val="24"/>
        </w:rPr>
        <w:t xml:space="preserve">przypadku </w:t>
      </w:r>
      <w:r w:rsidRPr="00215C44">
        <w:rPr>
          <w:szCs w:val="24"/>
        </w:rPr>
        <w:t>potwierdzenia odnotowanych rozbieżności</w:t>
      </w:r>
      <w:r w:rsidRPr="004136C0">
        <w:rPr>
          <w:szCs w:val="24"/>
        </w:rPr>
        <w:t xml:space="preserve"> </w:t>
      </w:r>
      <w:r w:rsidR="00A14ADA">
        <w:rPr>
          <w:szCs w:val="24"/>
        </w:rPr>
        <w:t>KIP</w:t>
      </w:r>
      <w:r w:rsidRPr="004136C0">
        <w:rPr>
          <w:szCs w:val="24"/>
        </w:rPr>
        <w:t xml:space="preserve"> przekazuje </w:t>
      </w:r>
      <w:r w:rsidR="0039553E">
        <w:rPr>
          <w:szCs w:val="24"/>
        </w:rPr>
        <w:t xml:space="preserve">do </w:t>
      </w:r>
      <w:r w:rsidR="003D11D4">
        <w:rPr>
          <w:szCs w:val="24"/>
        </w:rPr>
        <w:t>organu właściwego w sprawach CRBR</w:t>
      </w:r>
      <w:r w:rsidR="004D35F4">
        <w:rPr>
          <w:szCs w:val="24"/>
        </w:rPr>
        <w:t>,</w:t>
      </w:r>
      <w:r w:rsidR="003D11D4">
        <w:rPr>
          <w:szCs w:val="24"/>
        </w:rPr>
        <w:t xml:space="preserve"> </w:t>
      </w:r>
      <w:r w:rsidR="004D35F4">
        <w:rPr>
          <w:szCs w:val="24"/>
        </w:rPr>
        <w:t>wskazan</w:t>
      </w:r>
      <w:r w:rsidR="004F6EA5">
        <w:rPr>
          <w:szCs w:val="24"/>
        </w:rPr>
        <w:t>ego</w:t>
      </w:r>
      <w:r w:rsidR="003D11D4">
        <w:rPr>
          <w:szCs w:val="24"/>
        </w:rPr>
        <w:t xml:space="preserve"> w art. 56 ustawy AML</w:t>
      </w:r>
      <w:r w:rsidR="004D35F4">
        <w:rPr>
          <w:szCs w:val="24"/>
        </w:rPr>
        <w:t>,</w:t>
      </w:r>
      <w:r w:rsidR="00AC37D3">
        <w:rPr>
          <w:szCs w:val="24"/>
        </w:rPr>
        <w:t xml:space="preserve"> </w:t>
      </w:r>
      <w:r w:rsidRPr="004136C0">
        <w:rPr>
          <w:szCs w:val="24"/>
        </w:rPr>
        <w:t>zweryfikowaną informację o</w:t>
      </w:r>
      <w:r w:rsidR="00B956C1">
        <w:rPr>
          <w:szCs w:val="24"/>
        </w:rPr>
        <w:t> </w:t>
      </w:r>
      <w:r w:rsidRPr="004136C0">
        <w:rPr>
          <w:szCs w:val="24"/>
        </w:rPr>
        <w:t xml:space="preserve">tych rozbieżnościach wraz z uzasadnieniem i dokumentacją dotyczącą odnotowanych rozbieżności. </w:t>
      </w:r>
    </w:p>
    <w:p w14:paraId="6B5C56A7" w14:textId="77777777" w:rsidR="00B819B0" w:rsidRPr="00DF3F8F" w:rsidRDefault="00B819B0" w:rsidP="006E5D99">
      <w:pPr>
        <w:pStyle w:val="Akapitzlist"/>
        <w:numPr>
          <w:ilvl w:val="0"/>
          <w:numId w:val="4"/>
        </w:numPr>
        <w:spacing w:before="120" w:after="0"/>
        <w:ind w:left="357" w:hanging="357"/>
        <w:rPr>
          <w:b/>
        </w:rPr>
      </w:pPr>
      <w:r w:rsidRPr="00DF3F8F">
        <w:rPr>
          <w:b/>
        </w:rPr>
        <w:t>zasad dokumentowania utrudnień stwierdzonych w związku z weryfikacją tożsamości beneficjenta rzeczywistego orasz czynności podejmowanych w związku z identyfikacją jako beneficjenta rzeczywistego osoby fizycznej zajmujące</w:t>
      </w:r>
      <w:r w:rsidR="00CE41C6">
        <w:rPr>
          <w:b/>
        </w:rPr>
        <w:t>j wyższe stanowisko kierownicze</w:t>
      </w:r>
      <w:r w:rsidR="00C36A42">
        <w:rPr>
          <w:b/>
        </w:rPr>
        <w:t>;</w:t>
      </w:r>
    </w:p>
    <w:p w14:paraId="507544B8" w14:textId="5AE698E1" w:rsidR="00B177B3" w:rsidRPr="00D64465" w:rsidRDefault="00227D89" w:rsidP="003F4B57">
      <w:pPr>
        <w:shd w:val="clear" w:color="auto" w:fill="FFFFFF"/>
        <w:spacing w:before="120"/>
        <w:ind w:left="340"/>
        <w:textAlignment w:val="baseline"/>
        <w:rPr>
          <w:rFonts w:ascii="inherit" w:hAnsi="inherit" w:cs="Arial"/>
          <w:color w:val="1B1B1B"/>
          <w:spacing w:val="0"/>
          <w:szCs w:val="24"/>
        </w:rPr>
      </w:pPr>
      <w:r>
        <w:rPr>
          <w:rFonts w:ascii="inherit" w:hAnsi="inherit" w:cs="Arial"/>
          <w:color w:val="1B1B1B"/>
          <w:spacing w:val="0"/>
          <w:szCs w:val="24"/>
        </w:rPr>
        <w:t xml:space="preserve">W świetle </w:t>
      </w:r>
      <w:r w:rsidR="00B956C1">
        <w:rPr>
          <w:rFonts w:ascii="inherit" w:hAnsi="inherit" w:cs="Arial"/>
          <w:color w:val="1B1B1B"/>
          <w:spacing w:val="0"/>
          <w:szCs w:val="24"/>
        </w:rPr>
        <w:t>przepisów</w:t>
      </w:r>
      <w:r>
        <w:rPr>
          <w:rFonts w:ascii="inherit" w:hAnsi="inherit" w:cs="Arial"/>
          <w:color w:val="1B1B1B"/>
          <w:spacing w:val="0"/>
          <w:szCs w:val="24"/>
        </w:rPr>
        <w:t xml:space="preserve"> </w:t>
      </w:r>
      <w:r w:rsidR="00AC37D3">
        <w:rPr>
          <w:rFonts w:ascii="inherit" w:hAnsi="inherit" w:cs="Arial"/>
          <w:color w:val="1B1B1B"/>
          <w:spacing w:val="0"/>
          <w:szCs w:val="24"/>
        </w:rPr>
        <w:t>u</w:t>
      </w:r>
      <w:r>
        <w:rPr>
          <w:rFonts w:ascii="inherit" w:hAnsi="inherit" w:cs="Arial"/>
          <w:color w:val="1B1B1B"/>
          <w:spacing w:val="0"/>
          <w:szCs w:val="24"/>
        </w:rPr>
        <w:t>stawy</w:t>
      </w:r>
      <w:r w:rsidR="00AC37D3">
        <w:rPr>
          <w:rFonts w:ascii="inherit" w:hAnsi="inherit" w:cs="Arial"/>
          <w:color w:val="1B1B1B"/>
          <w:spacing w:val="0"/>
          <w:szCs w:val="24"/>
        </w:rPr>
        <w:t xml:space="preserve"> AML</w:t>
      </w:r>
      <w:r w:rsidR="00B177B3" w:rsidRPr="00B177B3">
        <w:rPr>
          <w:rFonts w:ascii="inherit" w:hAnsi="inherit" w:cs="Arial"/>
          <w:color w:val="1B1B1B"/>
          <w:spacing w:val="0"/>
          <w:szCs w:val="24"/>
        </w:rPr>
        <w:t>, w przypadku identyfikacji beneficjenta rzeczywistego będącego osobą, o której mowa w art. 2 ust. 2 pkt 1 lit. a</w:t>
      </w:r>
      <w:r w:rsidR="00193F32">
        <w:rPr>
          <w:rFonts w:ascii="inherit" w:hAnsi="inherit" w:cs="Arial"/>
          <w:color w:val="1B1B1B"/>
          <w:spacing w:val="0"/>
          <w:szCs w:val="24"/>
        </w:rPr>
        <w:t>)</w:t>
      </w:r>
      <w:r w:rsidR="00B177B3" w:rsidRPr="00B177B3">
        <w:rPr>
          <w:rFonts w:ascii="inherit" w:hAnsi="inherit" w:cs="Arial"/>
          <w:color w:val="1B1B1B"/>
          <w:spacing w:val="0"/>
          <w:szCs w:val="24"/>
        </w:rPr>
        <w:t> </w:t>
      </w:r>
      <w:r w:rsidRPr="002C032B">
        <w:rPr>
          <w:rFonts w:ascii="inherit" w:hAnsi="inherit" w:cs="Arial"/>
          <w:color w:val="1B1B1B"/>
          <w:spacing w:val="0"/>
          <w:szCs w:val="24"/>
        </w:rPr>
        <w:t xml:space="preserve">tiret </w:t>
      </w:r>
      <w:r w:rsidR="00B956C1" w:rsidRPr="00602FAE">
        <w:rPr>
          <w:rFonts w:ascii="inherit" w:hAnsi="inherit" w:cs="Arial"/>
          <w:color w:val="1B1B1B"/>
          <w:spacing w:val="0"/>
          <w:szCs w:val="24"/>
        </w:rPr>
        <w:t>5</w:t>
      </w:r>
      <w:r w:rsidR="00B177B3" w:rsidRPr="00B177B3">
        <w:rPr>
          <w:rFonts w:ascii="inherit" w:hAnsi="inherit" w:cs="Arial"/>
          <w:color w:val="1B1B1B"/>
          <w:spacing w:val="0"/>
          <w:szCs w:val="24"/>
        </w:rPr>
        <w:t xml:space="preserve">, </w:t>
      </w:r>
      <w:r w:rsidR="00B956C1">
        <w:rPr>
          <w:rFonts w:ascii="inherit" w:hAnsi="inherit" w:cs="Arial"/>
          <w:color w:val="1B1B1B"/>
          <w:spacing w:val="0"/>
          <w:szCs w:val="24"/>
        </w:rPr>
        <w:t>IO</w:t>
      </w:r>
      <w:r w:rsidR="00B177B3" w:rsidRPr="00B177B3">
        <w:rPr>
          <w:rFonts w:ascii="inherit" w:hAnsi="inherit" w:cs="Arial"/>
          <w:color w:val="1B1B1B"/>
          <w:spacing w:val="0"/>
          <w:szCs w:val="24"/>
        </w:rPr>
        <w:t xml:space="preserve"> dokumentuj</w:t>
      </w:r>
      <w:r w:rsidR="00193F32">
        <w:rPr>
          <w:rFonts w:ascii="inherit" w:hAnsi="inherit" w:cs="Arial"/>
          <w:color w:val="1B1B1B"/>
          <w:spacing w:val="0"/>
          <w:szCs w:val="24"/>
        </w:rPr>
        <w:t>e</w:t>
      </w:r>
      <w:r w:rsidR="00B177B3" w:rsidRPr="00B177B3">
        <w:rPr>
          <w:rFonts w:ascii="inherit" w:hAnsi="inherit" w:cs="Arial"/>
          <w:color w:val="1B1B1B"/>
          <w:spacing w:val="0"/>
          <w:szCs w:val="24"/>
        </w:rPr>
        <w:t>:</w:t>
      </w:r>
    </w:p>
    <w:p w14:paraId="3DDA3105" w14:textId="128C48A1" w:rsidR="00B177B3" w:rsidRPr="00D64465" w:rsidRDefault="00B177B3" w:rsidP="006E5D99">
      <w:pPr>
        <w:pStyle w:val="Akapitzlist"/>
        <w:numPr>
          <w:ilvl w:val="0"/>
          <w:numId w:val="8"/>
        </w:numPr>
        <w:spacing w:after="0"/>
        <w:ind w:left="700"/>
      </w:pPr>
      <w:r w:rsidRPr="00D64465">
        <w:t>wszystkie utrudnienia powoduj</w:t>
      </w:r>
      <w:r w:rsidRPr="00D64465">
        <w:rPr>
          <w:rFonts w:hint="eastAsia"/>
        </w:rPr>
        <w:t>ą</w:t>
      </w:r>
      <w:r w:rsidRPr="00D64465">
        <w:t>ce brak mo</w:t>
      </w:r>
      <w:r w:rsidRPr="00D64465">
        <w:rPr>
          <w:rFonts w:hint="eastAsia"/>
        </w:rPr>
        <w:t>ż</w:t>
      </w:r>
      <w:r w:rsidRPr="00D64465">
        <w:t>liwo</w:t>
      </w:r>
      <w:r w:rsidRPr="00D64465">
        <w:rPr>
          <w:rFonts w:hint="eastAsia"/>
        </w:rPr>
        <w:t>ś</w:t>
      </w:r>
      <w:r w:rsidRPr="00D64465">
        <w:t>ci ustalenia lub w</w:t>
      </w:r>
      <w:r w:rsidRPr="00D64465">
        <w:rPr>
          <w:rFonts w:hint="eastAsia"/>
        </w:rPr>
        <w:t>ą</w:t>
      </w:r>
      <w:r w:rsidRPr="00D64465">
        <w:t>tpliwo</w:t>
      </w:r>
      <w:r w:rsidRPr="00D64465">
        <w:rPr>
          <w:rFonts w:hint="eastAsia"/>
        </w:rPr>
        <w:t>ś</w:t>
      </w:r>
      <w:r w:rsidRPr="00D64465">
        <w:t>ci co do to</w:t>
      </w:r>
      <w:r w:rsidRPr="00D64465">
        <w:rPr>
          <w:rFonts w:hint="eastAsia"/>
        </w:rPr>
        <w:t>ż</w:t>
      </w:r>
      <w:r w:rsidRPr="00D64465">
        <w:t>samo</w:t>
      </w:r>
      <w:r w:rsidRPr="00D64465">
        <w:rPr>
          <w:rFonts w:hint="eastAsia"/>
        </w:rPr>
        <w:t>ś</w:t>
      </w:r>
      <w:r w:rsidRPr="00D64465">
        <w:t>ci os</w:t>
      </w:r>
      <w:r w:rsidRPr="00D64465">
        <w:rPr>
          <w:rFonts w:hint="eastAsia"/>
        </w:rPr>
        <w:t>ó</w:t>
      </w:r>
      <w:r w:rsidRPr="00D64465">
        <w:t xml:space="preserve">b fizycznych </w:t>
      </w:r>
      <w:r w:rsidR="00B956C1" w:rsidRPr="00D64465">
        <w:t>okre</w:t>
      </w:r>
      <w:r w:rsidR="00B956C1" w:rsidRPr="00D64465">
        <w:rPr>
          <w:rFonts w:hint="eastAsia"/>
        </w:rPr>
        <w:t>ś</w:t>
      </w:r>
      <w:r w:rsidR="00B956C1" w:rsidRPr="00D64465">
        <w:t>lone</w:t>
      </w:r>
      <w:r w:rsidR="00B956C1" w:rsidRPr="00D64465">
        <w:rPr>
          <w:rFonts w:hint="eastAsia"/>
        </w:rPr>
        <w:t> </w:t>
      </w:r>
      <w:r w:rsidRPr="00D64465">
        <w:t>w art. 2 ust. 2 pkt 1 lit. a</w:t>
      </w:r>
      <w:r w:rsidR="004772E1">
        <w:t>)</w:t>
      </w:r>
      <w:r w:rsidRPr="00D64465">
        <w:t xml:space="preserve"> tiret</w:t>
      </w:r>
      <w:r w:rsidR="00C65375">
        <w:t xml:space="preserve"> od pierwszego do czwartego</w:t>
      </w:r>
      <w:r w:rsidR="00B956C1" w:rsidRPr="00D64465">
        <w:t xml:space="preserve"> </w:t>
      </w:r>
      <w:r w:rsidR="00AC37D3" w:rsidRPr="00D64465">
        <w:t>u</w:t>
      </w:r>
      <w:r w:rsidR="00227D89" w:rsidRPr="00D64465">
        <w:t>stawy</w:t>
      </w:r>
      <w:r w:rsidR="00AC37D3" w:rsidRPr="00D64465">
        <w:t xml:space="preserve"> AML</w:t>
      </w:r>
      <w:r w:rsidR="003F4B57">
        <w:t>,</w:t>
      </w:r>
    </w:p>
    <w:p w14:paraId="76974F0D" w14:textId="77777777" w:rsidR="00B177B3" w:rsidRPr="00D64465" w:rsidRDefault="00B177B3" w:rsidP="006E5D99">
      <w:pPr>
        <w:pStyle w:val="Akapitzlist"/>
        <w:numPr>
          <w:ilvl w:val="0"/>
          <w:numId w:val="8"/>
        </w:numPr>
        <w:spacing w:after="0"/>
        <w:ind w:left="700"/>
      </w:pPr>
      <w:r w:rsidRPr="00D64465">
        <w:t>wszystkie utrudnienia zwi</w:t>
      </w:r>
      <w:r w:rsidRPr="00D64465">
        <w:rPr>
          <w:rFonts w:hint="eastAsia"/>
        </w:rPr>
        <w:t>ą</w:t>
      </w:r>
      <w:r w:rsidRPr="00D64465">
        <w:t>zane z uzasadnionymi czynno</w:t>
      </w:r>
      <w:r w:rsidRPr="00D64465">
        <w:rPr>
          <w:rFonts w:hint="eastAsia"/>
        </w:rPr>
        <w:t>ś</w:t>
      </w:r>
      <w:r w:rsidRPr="00D64465">
        <w:t>ciami podejmowanymi w celu weryfikacji to</w:t>
      </w:r>
      <w:r w:rsidRPr="00D64465">
        <w:rPr>
          <w:rFonts w:hint="eastAsia"/>
        </w:rPr>
        <w:t>ż</w:t>
      </w:r>
      <w:r w:rsidRPr="00D64465">
        <w:t>samo</w:t>
      </w:r>
      <w:r w:rsidRPr="00D64465">
        <w:rPr>
          <w:rFonts w:hint="eastAsia"/>
        </w:rPr>
        <w:t>ś</w:t>
      </w:r>
      <w:r w:rsidRPr="00D64465">
        <w:t>ci beneficjenta rzeczywistego.</w:t>
      </w:r>
    </w:p>
    <w:p w14:paraId="25C09571" w14:textId="55C9D60A" w:rsidR="00B177B3" w:rsidRDefault="00B177B3" w:rsidP="00AC37D3">
      <w:pPr>
        <w:shd w:val="clear" w:color="auto" w:fill="FFFFFF"/>
        <w:spacing w:before="120"/>
        <w:ind w:left="340"/>
        <w:textAlignment w:val="baseline"/>
        <w:rPr>
          <w:rFonts w:ascii="inherit" w:hAnsi="inherit" w:cs="Arial"/>
          <w:color w:val="1B1B1B"/>
          <w:spacing w:val="0"/>
          <w:szCs w:val="24"/>
        </w:rPr>
      </w:pPr>
      <w:r w:rsidRPr="00B177B3">
        <w:rPr>
          <w:rFonts w:ascii="inherit" w:hAnsi="inherit" w:cs="Arial"/>
          <w:color w:val="1B1B1B"/>
          <w:spacing w:val="0"/>
          <w:szCs w:val="24"/>
        </w:rPr>
        <w:t>Bez względu na to</w:t>
      </w:r>
      <w:r w:rsidR="00193F32">
        <w:rPr>
          <w:rFonts w:ascii="inherit" w:hAnsi="inherit" w:cs="Arial"/>
          <w:color w:val="1B1B1B"/>
          <w:spacing w:val="0"/>
          <w:szCs w:val="24"/>
        </w:rPr>
        <w:t>,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jak bardzo skomplikowana i wielopoziomowa </w:t>
      </w:r>
      <w:r w:rsidR="002E1C96">
        <w:rPr>
          <w:rFonts w:ascii="inherit" w:hAnsi="inherit" w:cs="Arial"/>
          <w:color w:val="1B1B1B"/>
          <w:spacing w:val="0"/>
          <w:szCs w:val="24"/>
        </w:rPr>
        <w:t xml:space="preserve">jest </w:t>
      </w:r>
      <w:r w:rsidRPr="00B177B3">
        <w:rPr>
          <w:rFonts w:ascii="inherit" w:hAnsi="inherit" w:cs="Arial"/>
          <w:color w:val="1B1B1B"/>
          <w:spacing w:val="0"/>
          <w:szCs w:val="24"/>
        </w:rPr>
        <w:t>struktura własności klienta</w:t>
      </w:r>
      <w:r w:rsidR="00AC37D3">
        <w:rPr>
          <w:rFonts w:ascii="inherit" w:hAnsi="inherit" w:cs="Arial"/>
          <w:color w:val="1B1B1B"/>
          <w:spacing w:val="0"/>
          <w:szCs w:val="24"/>
        </w:rPr>
        <w:t>,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występuj</w:t>
      </w:r>
      <w:r w:rsidR="00AC37D3">
        <w:rPr>
          <w:rFonts w:ascii="inherit" w:hAnsi="inherit" w:cs="Arial"/>
          <w:color w:val="1B1B1B"/>
          <w:spacing w:val="0"/>
          <w:szCs w:val="24"/>
        </w:rPr>
        <w:t>ą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czy brakuje publicznych informacji</w:t>
      </w:r>
      <w:r w:rsidRPr="00B177B3">
        <w:rPr>
          <w:rFonts w:ascii="inherit" w:hAnsi="inherit" w:cs="Arial"/>
          <w:color w:val="1B1B1B"/>
          <w:spacing w:val="0"/>
          <w:sz w:val="22"/>
          <w:szCs w:val="22"/>
        </w:rPr>
        <w:t> 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o strukturze własności klienta </w:t>
      </w:r>
      <w:r w:rsidR="00C36A42">
        <w:rPr>
          <w:rFonts w:ascii="inherit" w:hAnsi="inherit" w:cs="Arial"/>
          <w:color w:val="1B1B1B"/>
          <w:spacing w:val="0"/>
          <w:szCs w:val="24"/>
        </w:rPr>
        <w:t>–</w:t>
      </w:r>
      <w:r w:rsidR="00A14ADA">
        <w:rPr>
          <w:rFonts w:ascii="inherit" w:hAnsi="inherit" w:cs="Arial"/>
          <w:color w:val="1B1B1B"/>
          <w:spacing w:val="0"/>
          <w:szCs w:val="24"/>
        </w:rPr>
        <w:t>KIP</w:t>
      </w:r>
      <w:r w:rsidRPr="00B177B3">
        <w:rPr>
          <w:rFonts w:ascii="inherit" w:hAnsi="inherit" w:cs="Arial"/>
          <w:color w:val="1B1B1B"/>
          <w:spacing w:val="0"/>
          <w:szCs w:val="24"/>
        </w:rPr>
        <w:t> </w:t>
      </w:r>
      <w:r w:rsidRPr="006A47AE">
        <w:rPr>
          <w:rFonts w:ascii="inherit" w:hAnsi="inherit" w:cs="Arial"/>
          <w:bCs/>
          <w:color w:val="1B1B1B"/>
          <w:spacing w:val="0"/>
          <w:szCs w:val="24"/>
        </w:rPr>
        <w:t>jest zobligowana do podjęcia działań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 zmierzających do </w:t>
      </w:r>
      <w:r w:rsidRPr="006B4B45">
        <w:rPr>
          <w:rFonts w:ascii="inherit" w:hAnsi="inherit" w:cs="Arial"/>
          <w:b/>
          <w:color w:val="1B1B1B"/>
          <w:spacing w:val="0"/>
          <w:szCs w:val="24"/>
        </w:rPr>
        <w:t>identyfikacji beneficjenta rzeczywistego, weryfikacji jego to</w:t>
      </w:r>
      <w:r w:rsidRPr="006B4B45">
        <w:rPr>
          <w:rFonts w:ascii="inherit" w:hAnsi="inherit" w:cs="Arial" w:hint="eastAsia"/>
          <w:b/>
          <w:color w:val="1B1B1B"/>
          <w:spacing w:val="0"/>
          <w:szCs w:val="24"/>
        </w:rPr>
        <w:t>ż</w:t>
      </w:r>
      <w:r w:rsidRPr="006B4B45">
        <w:rPr>
          <w:rFonts w:ascii="inherit" w:hAnsi="inherit" w:cs="Arial"/>
          <w:b/>
          <w:color w:val="1B1B1B"/>
          <w:spacing w:val="0"/>
          <w:szCs w:val="24"/>
        </w:rPr>
        <w:t>samo</w:t>
      </w:r>
      <w:r w:rsidRPr="006B4B45">
        <w:rPr>
          <w:rFonts w:ascii="inherit" w:hAnsi="inherit" w:cs="Arial" w:hint="eastAsia"/>
          <w:b/>
          <w:color w:val="1B1B1B"/>
          <w:spacing w:val="0"/>
          <w:szCs w:val="24"/>
        </w:rPr>
        <w:t>ś</w:t>
      </w:r>
      <w:r w:rsidRPr="006B4B45">
        <w:rPr>
          <w:rFonts w:ascii="inherit" w:hAnsi="inherit" w:cs="Arial"/>
          <w:b/>
          <w:color w:val="1B1B1B"/>
          <w:spacing w:val="0"/>
          <w:szCs w:val="24"/>
        </w:rPr>
        <w:t>ci oraz ustalenia struktury w</w:t>
      </w:r>
      <w:r w:rsidRPr="006B4B45">
        <w:rPr>
          <w:rFonts w:ascii="inherit" w:hAnsi="inherit" w:cs="Arial" w:hint="eastAsia"/>
          <w:b/>
          <w:color w:val="1B1B1B"/>
          <w:spacing w:val="0"/>
          <w:szCs w:val="24"/>
        </w:rPr>
        <w:t>ł</w:t>
      </w:r>
      <w:r w:rsidRPr="006B4B45">
        <w:rPr>
          <w:rFonts w:ascii="inherit" w:hAnsi="inherit" w:cs="Arial"/>
          <w:b/>
          <w:color w:val="1B1B1B"/>
          <w:spacing w:val="0"/>
          <w:szCs w:val="24"/>
        </w:rPr>
        <w:t>asno</w:t>
      </w:r>
      <w:r w:rsidRPr="006B4B45">
        <w:rPr>
          <w:rFonts w:ascii="inherit" w:hAnsi="inherit" w:cs="Arial" w:hint="eastAsia"/>
          <w:b/>
          <w:color w:val="1B1B1B"/>
          <w:spacing w:val="0"/>
          <w:szCs w:val="24"/>
        </w:rPr>
        <w:t>ś</w:t>
      </w:r>
      <w:r w:rsidRPr="006B4B45">
        <w:rPr>
          <w:rFonts w:ascii="inherit" w:hAnsi="inherit" w:cs="Arial"/>
          <w:b/>
          <w:color w:val="1B1B1B"/>
          <w:spacing w:val="0"/>
          <w:szCs w:val="24"/>
        </w:rPr>
        <w:t xml:space="preserve">ci </w:t>
      </w:r>
      <w:r w:rsidR="00F10A9D">
        <w:rPr>
          <w:rFonts w:ascii="inherit" w:hAnsi="inherit" w:cs="Arial"/>
          <w:b/>
          <w:color w:val="1B1B1B"/>
          <w:spacing w:val="0"/>
          <w:szCs w:val="24"/>
        </w:rPr>
        <w:br/>
      </w:r>
      <w:r w:rsidRPr="006B4B45">
        <w:rPr>
          <w:rFonts w:ascii="inherit" w:hAnsi="inherit" w:cs="Arial"/>
          <w:b/>
          <w:color w:val="1B1B1B"/>
          <w:spacing w:val="0"/>
          <w:szCs w:val="24"/>
        </w:rPr>
        <w:t>i kontroli klienta</w:t>
      </w:r>
      <w:r w:rsidRPr="00B177B3">
        <w:rPr>
          <w:rFonts w:ascii="inherit" w:hAnsi="inherit" w:cs="Arial"/>
          <w:color w:val="1B1B1B"/>
          <w:spacing w:val="0"/>
          <w:szCs w:val="24"/>
        </w:rPr>
        <w:t>. Dopiero</w:t>
      </w:r>
      <w:r w:rsidR="00AC37D3">
        <w:rPr>
          <w:rFonts w:ascii="inherit" w:hAnsi="inherit" w:cs="Arial"/>
          <w:color w:val="1B1B1B"/>
          <w:spacing w:val="0"/>
          <w:szCs w:val="24"/>
        </w:rPr>
        <w:t>,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gdy </w:t>
      </w:r>
      <w:r w:rsidR="006A47AE">
        <w:rPr>
          <w:rFonts w:ascii="inherit" w:hAnsi="inherit" w:cs="Arial"/>
          <w:color w:val="1B1B1B"/>
          <w:spacing w:val="0"/>
          <w:szCs w:val="24"/>
        </w:rPr>
        <w:t xml:space="preserve">z </w:t>
      </w:r>
      <w:r w:rsidRPr="006A47AE">
        <w:rPr>
          <w:rFonts w:ascii="inherit" w:hAnsi="inherit" w:cs="Arial"/>
          <w:bCs/>
          <w:color w:val="1B1B1B"/>
          <w:spacing w:val="0"/>
          <w:szCs w:val="24"/>
        </w:rPr>
        <w:t>analiz</w:t>
      </w:r>
      <w:r w:rsidR="006A47AE">
        <w:rPr>
          <w:rFonts w:ascii="inherit" w:hAnsi="inherit" w:cs="Arial"/>
          <w:bCs/>
          <w:color w:val="1B1B1B"/>
          <w:spacing w:val="0"/>
          <w:szCs w:val="24"/>
        </w:rPr>
        <w:t>y</w:t>
      </w:r>
      <w:r w:rsidRPr="006A47AE">
        <w:rPr>
          <w:rFonts w:ascii="inherit" w:hAnsi="inherit" w:cs="Arial"/>
          <w:bCs/>
          <w:color w:val="1B1B1B"/>
          <w:spacing w:val="0"/>
          <w:szCs w:val="24"/>
        </w:rPr>
        <w:t xml:space="preserve"> struktury własności klienta</w:t>
      </w:r>
      <w:r w:rsidRPr="00B177B3">
        <w:rPr>
          <w:rFonts w:ascii="inherit" w:hAnsi="inherit" w:cs="Arial"/>
          <w:color w:val="1B1B1B"/>
          <w:spacing w:val="0"/>
          <w:szCs w:val="24"/>
        </w:rPr>
        <w:t> </w:t>
      </w:r>
      <w:r w:rsidR="006A47AE">
        <w:rPr>
          <w:rFonts w:ascii="inherit" w:hAnsi="inherit" w:cs="Arial"/>
          <w:color w:val="1B1B1B"/>
          <w:spacing w:val="0"/>
          <w:szCs w:val="24"/>
        </w:rPr>
        <w:t>wynika</w:t>
      </w:r>
      <w:r w:rsidRPr="00B177B3">
        <w:rPr>
          <w:rFonts w:ascii="inherit" w:hAnsi="inherit" w:cs="Arial"/>
          <w:color w:val="1B1B1B"/>
          <w:spacing w:val="0"/>
          <w:szCs w:val="24"/>
        </w:rPr>
        <w:t>, iż brak jest możliwości ustalenia lub istnieją wątpliwości co do tożsamości osób fizycznych określonych w art. 2 ust. 2 pkt 1 lit. a</w:t>
      </w:r>
      <w:r w:rsidR="004772E1">
        <w:rPr>
          <w:rFonts w:ascii="inherit" w:hAnsi="inherit" w:cs="Arial"/>
          <w:color w:val="1B1B1B"/>
          <w:spacing w:val="0"/>
          <w:szCs w:val="24"/>
        </w:rPr>
        <w:t>)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tiret od pierwsze</w:t>
      </w:r>
      <w:r w:rsidR="00193F32">
        <w:rPr>
          <w:rFonts w:ascii="inherit" w:hAnsi="inherit" w:cs="Arial"/>
          <w:color w:val="1B1B1B"/>
          <w:spacing w:val="0"/>
          <w:szCs w:val="24"/>
        </w:rPr>
        <w:t>go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do czwarte</w:t>
      </w:r>
      <w:r w:rsidR="00193F32">
        <w:rPr>
          <w:rFonts w:ascii="inherit" w:hAnsi="inherit" w:cs="Arial"/>
          <w:color w:val="1B1B1B"/>
          <w:spacing w:val="0"/>
          <w:szCs w:val="24"/>
        </w:rPr>
        <w:t>go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</w:t>
      </w:r>
      <w:r w:rsidR="00AC37D3">
        <w:rPr>
          <w:rFonts w:ascii="inherit" w:hAnsi="inherit" w:cs="Arial"/>
          <w:color w:val="1B1B1B"/>
          <w:spacing w:val="0"/>
          <w:szCs w:val="24"/>
        </w:rPr>
        <w:t>u</w:t>
      </w:r>
      <w:r w:rsidR="006A47AE">
        <w:rPr>
          <w:rFonts w:ascii="inherit" w:hAnsi="inherit" w:cs="Arial"/>
          <w:color w:val="1B1B1B"/>
          <w:spacing w:val="0"/>
          <w:szCs w:val="24"/>
        </w:rPr>
        <w:t>stawy</w:t>
      </w:r>
      <w:r w:rsidR="00AC37D3">
        <w:rPr>
          <w:rFonts w:ascii="inherit" w:hAnsi="inherit" w:cs="Arial"/>
          <w:color w:val="1B1B1B"/>
          <w:spacing w:val="0"/>
          <w:szCs w:val="24"/>
        </w:rPr>
        <w:t xml:space="preserve"> AML</w:t>
      </w:r>
      <w:r w:rsidR="00193F32">
        <w:rPr>
          <w:rFonts w:ascii="inherit" w:hAnsi="inherit" w:cs="Arial"/>
          <w:color w:val="1B1B1B"/>
          <w:spacing w:val="0"/>
          <w:szCs w:val="24"/>
        </w:rPr>
        <w:t>,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możliwe jest ustalenie jako beneficjenta rzeczywistego</w:t>
      </w:r>
      <w:r w:rsidRPr="00B177B3">
        <w:rPr>
          <w:rFonts w:ascii="inherit" w:hAnsi="inherit" w:cs="Arial"/>
          <w:color w:val="1B1B1B"/>
          <w:spacing w:val="0"/>
          <w:sz w:val="22"/>
          <w:szCs w:val="22"/>
        </w:rPr>
        <w:t> </w:t>
      </w:r>
      <w:r w:rsidRPr="00B177B3">
        <w:rPr>
          <w:rFonts w:ascii="inherit" w:hAnsi="inherit" w:cs="Arial"/>
          <w:color w:val="1B1B1B"/>
          <w:spacing w:val="0"/>
          <w:szCs w:val="24"/>
        </w:rPr>
        <w:t>osob</w:t>
      </w:r>
      <w:r w:rsidR="004F6EA5">
        <w:rPr>
          <w:rFonts w:ascii="inherit" w:hAnsi="inherit" w:cs="Arial"/>
          <w:color w:val="1B1B1B"/>
          <w:spacing w:val="0"/>
          <w:szCs w:val="24"/>
        </w:rPr>
        <w:t>y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fizyczn</w:t>
      </w:r>
      <w:r w:rsidR="004F6EA5">
        <w:rPr>
          <w:rFonts w:ascii="inherit" w:hAnsi="inherit" w:cs="Arial"/>
          <w:color w:val="1B1B1B"/>
          <w:spacing w:val="0"/>
          <w:szCs w:val="24"/>
        </w:rPr>
        <w:t>ej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zajmującej wyższe stanowisko kierownicze.</w:t>
      </w:r>
    </w:p>
    <w:p w14:paraId="3B2531FF" w14:textId="7BB91A2B" w:rsidR="007431AB" w:rsidRPr="00B177B3" w:rsidRDefault="007431AB" w:rsidP="00F71EC4">
      <w:pPr>
        <w:shd w:val="clear" w:color="auto" w:fill="FFFFFF"/>
        <w:spacing w:before="120"/>
        <w:ind w:left="340"/>
        <w:textAlignment w:val="baseline"/>
        <w:rPr>
          <w:rFonts w:ascii="Arial" w:hAnsi="Arial" w:cs="Arial"/>
          <w:color w:val="1B1B1B"/>
          <w:spacing w:val="0"/>
          <w:szCs w:val="24"/>
        </w:rPr>
      </w:pPr>
      <w:r>
        <w:rPr>
          <w:rFonts w:ascii="inherit" w:hAnsi="inherit" w:cs="Arial"/>
          <w:color w:val="1B1B1B"/>
          <w:spacing w:val="0"/>
          <w:szCs w:val="24"/>
        </w:rPr>
        <w:lastRenderedPageBreak/>
        <w:t xml:space="preserve">Dodatkowo powyższe obowiązki w przypadku współpracy z agentami powinny mieć tożsame zastosowanie z uwzględnieniem procesu kontroli przez KIP. </w:t>
      </w:r>
    </w:p>
    <w:p w14:paraId="6831E34B" w14:textId="2814D872" w:rsidR="00B177B3" w:rsidRPr="00B177B3" w:rsidRDefault="00B177B3" w:rsidP="004F4FAB">
      <w:pPr>
        <w:shd w:val="clear" w:color="auto" w:fill="FFFFFF"/>
        <w:spacing w:before="120"/>
        <w:ind w:left="340"/>
        <w:textAlignment w:val="baseline"/>
        <w:rPr>
          <w:rFonts w:ascii="Arial" w:hAnsi="Arial" w:cs="Arial"/>
          <w:color w:val="1B1B1B"/>
          <w:spacing w:val="0"/>
          <w:szCs w:val="24"/>
        </w:rPr>
      </w:pPr>
      <w:r w:rsidRPr="00B177B3">
        <w:rPr>
          <w:rFonts w:ascii="inherit" w:hAnsi="inherit" w:cs="Arial"/>
          <w:color w:val="1B1B1B"/>
          <w:spacing w:val="0"/>
          <w:szCs w:val="24"/>
        </w:rPr>
        <w:t xml:space="preserve">W sytuacji gdy </w:t>
      </w:r>
      <w:r w:rsidR="00A14ADA">
        <w:rPr>
          <w:rFonts w:ascii="inherit" w:hAnsi="inherit" w:cs="Arial"/>
          <w:color w:val="1B1B1B"/>
          <w:spacing w:val="0"/>
          <w:szCs w:val="24"/>
        </w:rPr>
        <w:t>KIP</w:t>
      </w:r>
      <w:r w:rsidR="00F56274">
        <w:rPr>
          <w:rFonts w:ascii="inherit" w:hAnsi="inherit" w:cs="Arial"/>
          <w:color w:val="1B1B1B"/>
          <w:spacing w:val="0"/>
          <w:szCs w:val="24"/>
        </w:rPr>
        <w:t xml:space="preserve"> </w:t>
      </w:r>
      <w:r w:rsidRPr="00B177B3">
        <w:rPr>
          <w:rFonts w:ascii="inherit" w:hAnsi="inherit" w:cs="Arial"/>
          <w:color w:val="1B1B1B"/>
          <w:spacing w:val="0"/>
          <w:szCs w:val="24"/>
        </w:rPr>
        <w:t>ustaliła jako beneficjenta rzeczywistego</w:t>
      </w:r>
      <w:r w:rsidR="00100B1D">
        <w:rPr>
          <w:rFonts w:ascii="inherit" w:hAnsi="inherit" w:cs="Arial"/>
          <w:color w:val="1B1B1B"/>
          <w:spacing w:val="0"/>
          <w:szCs w:val="24"/>
        </w:rPr>
        <w:t xml:space="preserve"> </w:t>
      </w:r>
      <w:r w:rsidRPr="00B177B3">
        <w:rPr>
          <w:rFonts w:ascii="inherit" w:hAnsi="inherit" w:cs="Arial"/>
          <w:color w:val="1B1B1B"/>
          <w:spacing w:val="0"/>
          <w:szCs w:val="24"/>
        </w:rPr>
        <w:t>osobę fizyczną zajmującą wyższe stanowisko kierownicze, to</w:t>
      </w:r>
      <w:r w:rsidR="00686267">
        <w:rPr>
          <w:rFonts w:ascii="inherit" w:hAnsi="inherit" w:cs="Arial"/>
          <w:color w:val="1B1B1B"/>
          <w:spacing w:val="0"/>
          <w:szCs w:val="24"/>
        </w:rPr>
        <w:t xml:space="preserve"> </w:t>
      </w:r>
      <w:r w:rsidR="00686267" w:rsidRPr="00AC37D3">
        <w:rPr>
          <w:rFonts w:ascii="inherit" w:hAnsi="inherit" w:cs="Arial"/>
          <w:i/>
          <w:color w:val="1B1B1B"/>
          <w:spacing w:val="0"/>
          <w:szCs w:val="24"/>
        </w:rPr>
        <w:t>Procedura</w:t>
      </w:r>
      <w:r w:rsidR="00686267">
        <w:rPr>
          <w:rFonts w:ascii="inherit" w:hAnsi="inherit" w:cs="Arial"/>
          <w:color w:val="1B1B1B"/>
          <w:spacing w:val="0"/>
          <w:szCs w:val="24"/>
        </w:rPr>
        <w:t xml:space="preserve"> powinna zawierać </w:t>
      </w:r>
      <w:r w:rsidR="00AC37D3">
        <w:rPr>
          <w:rFonts w:ascii="inherit" w:hAnsi="inherit" w:cs="Arial"/>
          <w:color w:val="1B1B1B"/>
          <w:spacing w:val="0"/>
          <w:szCs w:val="24"/>
        </w:rPr>
        <w:t xml:space="preserve">opis </w:t>
      </w:r>
      <w:r w:rsidR="00686267">
        <w:rPr>
          <w:rFonts w:ascii="inherit" w:hAnsi="inherit" w:cs="Arial"/>
          <w:color w:val="1B1B1B"/>
          <w:spacing w:val="0"/>
          <w:szCs w:val="24"/>
        </w:rPr>
        <w:t>spos</w:t>
      </w:r>
      <w:r w:rsidR="00AC37D3">
        <w:rPr>
          <w:rFonts w:ascii="inherit" w:hAnsi="inherit" w:cs="Arial"/>
          <w:color w:val="1B1B1B"/>
          <w:spacing w:val="0"/>
          <w:szCs w:val="24"/>
        </w:rPr>
        <w:t>o</w:t>
      </w:r>
      <w:r w:rsidR="00686267">
        <w:rPr>
          <w:rFonts w:ascii="inherit" w:hAnsi="inherit" w:cs="Arial"/>
          <w:color w:val="1B1B1B"/>
          <w:spacing w:val="0"/>
          <w:szCs w:val="24"/>
        </w:rPr>
        <w:t>b</w:t>
      </w:r>
      <w:r w:rsidR="00AC37D3">
        <w:rPr>
          <w:rFonts w:ascii="inherit" w:hAnsi="inherit" w:cs="Arial"/>
          <w:color w:val="1B1B1B"/>
          <w:spacing w:val="0"/>
          <w:szCs w:val="24"/>
        </w:rPr>
        <w:t>u</w:t>
      </w:r>
      <w:r w:rsidRPr="00B177B3">
        <w:rPr>
          <w:rFonts w:ascii="inherit" w:hAnsi="inherit" w:cs="Arial"/>
          <w:color w:val="1B1B1B"/>
          <w:spacing w:val="0"/>
          <w:szCs w:val="24"/>
        </w:rPr>
        <w:t xml:space="preserve"> dokument</w:t>
      </w:r>
      <w:r w:rsidR="00686267">
        <w:rPr>
          <w:rFonts w:ascii="inherit" w:hAnsi="inherit" w:cs="Arial"/>
          <w:color w:val="1B1B1B"/>
          <w:spacing w:val="0"/>
          <w:szCs w:val="24"/>
        </w:rPr>
        <w:t>owania</w:t>
      </w:r>
      <w:r w:rsidR="004772E1">
        <w:rPr>
          <w:rFonts w:ascii="inherit" w:hAnsi="inherit" w:cs="Arial"/>
          <w:color w:val="1B1B1B"/>
          <w:spacing w:val="0"/>
          <w:szCs w:val="24"/>
        </w:rPr>
        <w:t xml:space="preserve"> wszystkich</w:t>
      </w:r>
      <w:r w:rsidR="006F78BB">
        <w:rPr>
          <w:rFonts w:ascii="inherit" w:hAnsi="inherit" w:cs="Arial"/>
          <w:color w:val="1B1B1B"/>
          <w:spacing w:val="0"/>
          <w:szCs w:val="24"/>
        </w:rPr>
        <w:t>:</w:t>
      </w:r>
    </w:p>
    <w:p w14:paraId="5CE9ACE1" w14:textId="77EAAEBF" w:rsidR="00B177B3" w:rsidRPr="00B03D2A" w:rsidRDefault="00B177B3" w:rsidP="006E5D99">
      <w:pPr>
        <w:pStyle w:val="Akapitzlist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Arial" w:hAnsi="Arial" w:cs="Arial"/>
          <w:color w:val="1B1B1B"/>
          <w:spacing w:val="0"/>
          <w:szCs w:val="24"/>
        </w:rPr>
      </w:pPr>
      <w:r w:rsidRPr="00B03D2A">
        <w:rPr>
          <w:rFonts w:ascii="inherit" w:hAnsi="inherit" w:cs="Arial"/>
          <w:bCs/>
          <w:color w:val="1B1B1B"/>
          <w:spacing w:val="0"/>
          <w:szCs w:val="24"/>
        </w:rPr>
        <w:t>podjęt</w:t>
      </w:r>
      <w:r w:rsidR="00686267">
        <w:rPr>
          <w:rFonts w:ascii="inherit" w:hAnsi="inherit" w:cs="Arial"/>
          <w:bCs/>
          <w:color w:val="1B1B1B"/>
          <w:spacing w:val="0"/>
          <w:szCs w:val="24"/>
        </w:rPr>
        <w:t>ych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 czynności zmierzając</w:t>
      </w:r>
      <w:r w:rsidR="004772E1">
        <w:rPr>
          <w:rFonts w:ascii="inherit" w:hAnsi="inherit" w:cs="Arial"/>
          <w:bCs/>
          <w:color w:val="1B1B1B"/>
          <w:spacing w:val="0"/>
          <w:szCs w:val="24"/>
        </w:rPr>
        <w:t>ych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 do ustalenia tożsamości</w:t>
      </w:r>
      <w:r w:rsidRPr="00B03D2A">
        <w:rPr>
          <w:rFonts w:ascii="inherit" w:hAnsi="inherit" w:cs="Arial"/>
          <w:color w:val="1B1B1B"/>
          <w:spacing w:val="0"/>
          <w:szCs w:val="24"/>
        </w:rPr>
        <w:t> osób fizycznych określonych w art. 2 ust. 2 pkt 1 lit. a</w:t>
      </w:r>
      <w:r w:rsidR="004772E1">
        <w:rPr>
          <w:rFonts w:ascii="inherit" w:hAnsi="inherit" w:cs="Arial"/>
          <w:color w:val="1B1B1B"/>
          <w:spacing w:val="0"/>
          <w:szCs w:val="24"/>
        </w:rPr>
        <w:t>)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tiret od 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>pierwsze</w:t>
      </w:r>
      <w:r w:rsidR="00227AE6">
        <w:rPr>
          <w:rFonts w:ascii="inherit" w:hAnsi="inherit" w:cs="Arial"/>
          <w:bCs/>
          <w:color w:val="1B1B1B"/>
          <w:spacing w:val="0"/>
          <w:szCs w:val="24"/>
        </w:rPr>
        <w:t>go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 do czwarte</w:t>
      </w:r>
      <w:r w:rsidR="00227AE6">
        <w:rPr>
          <w:rFonts w:ascii="inherit" w:hAnsi="inherit" w:cs="Arial"/>
          <w:bCs/>
          <w:color w:val="1B1B1B"/>
          <w:spacing w:val="0"/>
          <w:szCs w:val="24"/>
        </w:rPr>
        <w:t>go</w:t>
      </w:r>
      <w:r w:rsidRPr="00B03D2A">
        <w:rPr>
          <w:rFonts w:ascii="inherit" w:hAnsi="inherit" w:cs="Arial"/>
          <w:color w:val="1B1B1B"/>
          <w:spacing w:val="0"/>
          <w:szCs w:val="24"/>
        </w:rPr>
        <w:t> ustawy AML (</w:t>
      </w:r>
      <w:r w:rsidR="004772E1">
        <w:rPr>
          <w:rFonts w:ascii="inherit" w:hAnsi="inherit" w:cs="Arial"/>
          <w:color w:val="1B1B1B"/>
          <w:spacing w:val="0"/>
          <w:szCs w:val="24"/>
        </w:rPr>
        <w:t>np.</w:t>
      </w:r>
      <w:r w:rsidR="004772E1" w:rsidRPr="00B03D2A">
        <w:rPr>
          <w:rFonts w:ascii="inherit" w:hAnsi="inherit" w:cs="Arial"/>
          <w:color w:val="1B1B1B"/>
          <w:spacing w:val="0"/>
          <w:szCs w:val="24"/>
        </w:rPr>
        <w:t xml:space="preserve"> 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pozyskanie odpisu z </w:t>
      </w:r>
      <w:r w:rsidR="00227AE6">
        <w:rPr>
          <w:rFonts w:ascii="inherit" w:hAnsi="inherit" w:cs="Arial"/>
          <w:color w:val="1B1B1B"/>
          <w:spacing w:val="0"/>
          <w:szCs w:val="24"/>
        </w:rPr>
        <w:t xml:space="preserve">rejestru przedsiębiorców </w:t>
      </w:r>
      <w:r w:rsidRPr="00B03D2A">
        <w:rPr>
          <w:rFonts w:ascii="inherit" w:hAnsi="inherit" w:cs="Arial"/>
          <w:color w:val="1B1B1B"/>
          <w:spacing w:val="0"/>
          <w:szCs w:val="24"/>
        </w:rPr>
        <w:t>K</w:t>
      </w:r>
      <w:r w:rsidR="00227AE6">
        <w:rPr>
          <w:rFonts w:ascii="inherit" w:hAnsi="inherit" w:cs="Arial"/>
          <w:color w:val="1B1B1B"/>
          <w:spacing w:val="0"/>
          <w:szCs w:val="24"/>
        </w:rPr>
        <w:t xml:space="preserve">rajowego </w:t>
      </w:r>
      <w:r w:rsidRPr="00B03D2A">
        <w:rPr>
          <w:rFonts w:ascii="inherit" w:hAnsi="inherit" w:cs="Arial"/>
          <w:color w:val="1B1B1B"/>
          <w:spacing w:val="0"/>
          <w:szCs w:val="24"/>
        </w:rPr>
        <w:t>R</w:t>
      </w:r>
      <w:r w:rsidR="00227AE6">
        <w:rPr>
          <w:rFonts w:ascii="inherit" w:hAnsi="inherit" w:cs="Arial"/>
          <w:color w:val="1B1B1B"/>
          <w:spacing w:val="0"/>
          <w:szCs w:val="24"/>
        </w:rPr>
        <w:t xml:space="preserve">ejestru </w:t>
      </w:r>
      <w:r w:rsidRPr="00B03D2A">
        <w:rPr>
          <w:rFonts w:ascii="inherit" w:hAnsi="inherit" w:cs="Arial"/>
          <w:color w:val="1B1B1B"/>
          <w:spacing w:val="0"/>
          <w:szCs w:val="24"/>
        </w:rPr>
        <w:t>S</w:t>
      </w:r>
      <w:r w:rsidR="00227AE6">
        <w:rPr>
          <w:rFonts w:ascii="inherit" w:hAnsi="inherit" w:cs="Arial"/>
          <w:color w:val="1B1B1B"/>
          <w:spacing w:val="0"/>
          <w:szCs w:val="24"/>
        </w:rPr>
        <w:t>ądowego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klienta, umowy spółki klienta, umowy przeniesienia własności udziałów klienta, spisanie przez pracownika notatki z rozmowy telefonicz</w:t>
      </w:r>
      <w:r w:rsidR="00F56274">
        <w:rPr>
          <w:rFonts w:ascii="inherit" w:hAnsi="inherit" w:cs="Arial"/>
          <w:color w:val="1B1B1B"/>
          <w:spacing w:val="0"/>
          <w:szCs w:val="24"/>
        </w:rPr>
        <w:t>nej z przedstawicielem klienta),</w:t>
      </w:r>
    </w:p>
    <w:p w14:paraId="0B9A1E84" w14:textId="42C0472F" w:rsidR="00B177B3" w:rsidRPr="00B03D2A" w:rsidRDefault="00B177B3" w:rsidP="006E5D99">
      <w:pPr>
        <w:pStyle w:val="Akapitzlist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Arial" w:hAnsi="Arial" w:cs="Arial"/>
          <w:color w:val="1B1B1B"/>
          <w:spacing w:val="0"/>
          <w:szCs w:val="24"/>
        </w:rPr>
      </w:pP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okoliczności, które zostały uznane przez </w:t>
      </w:r>
      <w:r w:rsidR="00A14ADA">
        <w:rPr>
          <w:rFonts w:ascii="inherit" w:hAnsi="inherit" w:cs="Arial"/>
          <w:bCs/>
          <w:color w:val="1B1B1B"/>
          <w:spacing w:val="0"/>
          <w:szCs w:val="24"/>
        </w:rPr>
        <w:t>KIP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 jako powodujące brak możliwości ustalenia lub wątpliwości</w:t>
      </w:r>
      <w:r w:rsidRPr="00B03D2A">
        <w:rPr>
          <w:rFonts w:ascii="inherit" w:hAnsi="inherit" w:cs="Arial"/>
          <w:color w:val="1B1B1B"/>
          <w:spacing w:val="0"/>
          <w:szCs w:val="24"/>
        </w:rPr>
        <w:t> co do tożsamości osób fizycznych określonych w art. 2 ust. 2 pkt 1 lit. a</w:t>
      </w:r>
      <w:r w:rsidR="004772E1">
        <w:rPr>
          <w:rFonts w:ascii="inherit" w:hAnsi="inherit" w:cs="Arial"/>
          <w:color w:val="1B1B1B"/>
          <w:spacing w:val="0"/>
          <w:szCs w:val="24"/>
        </w:rPr>
        <w:t>)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tiret od pierwsze</w:t>
      </w:r>
      <w:r w:rsidR="00227AE6">
        <w:rPr>
          <w:rFonts w:ascii="inherit" w:hAnsi="inherit" w:cs="Arial"/>
          <w:color w:val="1B1B1B"/>
          <w:spacing w:val="0"/>
          <w:szCs w:val="24"/>
        </w:rPr>
        <w:t>go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do czwarte</w:t>
      </w:r>
      <w:r w:rsidR="00227AE6">
        <w:rPr>
          <w:rFonts w:ascii="inherit" w:hAnsi="inherit" w:cs="Arial"/>
          <w:color w:val="1B1B1B"/>
          <w:spacing w:val="0"/>
          <w:szCs w:val="24"/>
        </w:rPr>
        <w:t>go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ustawy AML (</w:t>
      </w:r>
      <w:r w:rsidR="004772E1">
        <w:rPr>
          <w:rFonts w:ascii="inherit" w:hAnsi="inherit" w:cs="Arial"/>
          <w:color w:val="1B1B1B"/>
          <w:spacing w:val="0"/>
          <w:szCs w:val="24"/>
        </w:rPr>
        <w:t>np.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ustalenie, że każdy wspólnik klienta </w:t>
      </w:r>
      <w:r w:rsidR="00227AE6">
        <w:rPr>
          <w:rFonts w:ascii="inherit" w:hAnsi="inherit" w:cs="Arial"/>
          <w:color w:val="1B1B1B"/>
          <w:spacing w:val="0"/>
          <w:szCs w:val="24"/>
        </w:rPr>
        <w:t>–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osoba f</w:t>
      </w:r>
      <w:r w:rsidR="003D53EF">
        <w:rPr>
          <w:rFonts w:ascii="inherit" w:hAnsi="inherit" w:cs="Arial"/>
          <w:color w:val="1B1B1B"/>
          <w:spacing w:val="0"/>
          <w:szCs w:val="24"/>
        </w:rPr>
        <w:t xml:space="preserve">izyczna </w:t>
      </w:r>
      <w:r w:rsidR="00227AE6">
        <w:rPr>
          <w:rFonts w:ascii="inherit" w:hAnsi="inherit" w:cs="Arial"/>
          <w:color w:val="1B1B1B"/>
          <w:spacing w:val="0"/>
          <w:szCs w:val="24"/>
        </w:rPr>
        <w:t>–</w:t>
      </w:r>
      <w:r w:rsidR="003D53EF">
        <w:rPr>
          <w:rFonts w:ascii="inherit" w:hAnsi="inherit" w:cs="Arial"/>
          <w:color w:val="1B1B1B"/>
          <w:spacing w:val="0"/>
          <w:szCs w:val="24"/>
        </w:rPr>
        <w:t xml:space="preserve"> posiada 20% udziałów)</w:t>
      </w:r>
      <w:r w:rsidR="00F56274">
        <w:rPr>
          <w:rFonts w:ascii="inherit" w:hAnsi="inherit" w:cs="Arial"/>
          <w:color w:val="1B1B1B"/>
          <w:spacing w:val="0"/>
          <w:szCs w:val="24"/>
        </w:rPr>
        <w:t>,</w:t>
      </w:r>
    </w:p>
    <w:p w14:paraId="32915B36" w14:textId="32BE8C7E" w:rsidR="00790021" w:rsidRPr="00790021" w:rsidRDefault="00B177B3" w:rsidP="006E5D99">
      <w:pPr>
        <w:pStyle w:val="Akapitzlist"/>
        <w:numPr>
          <w:ilvl w:val="0"/>
          <w:numId w:val="9"/>
        </w:numPr>
        <w:shd w:val="clear" w:color="auto" w:fill="FFFFFF"/>
        <w:ind w:left="714" w:hanging="357"/>
        <w:textAlignment w:val="baseline"/>
        <w:rPr>
          <w:rFonts w:ascii="Arial" w:hAnsi="Arial" w:cs="Arial"/>
          <w:color w:val="1B1B1B"/>
          <w:spacing w:val="0"/>
          <w:szCs w:val="24"/>
        </w:rPr>
      </w:pPr>
      <w:r w:rsidRPr="00B03D2A">
        <w:rPr>
          <w:rFonts w:ascii="inherit" w:hAnsi="inherit" w:cs="Arial"/>
          <w:bCs/>
          <w:color w:val="1B1B1B"/>
          <w:spacing w:val="0"/>
          <w:szCs w:val="24"/>
        </w:rPr>
        <w:t>utrudnie</w:t>
      </w:r>
      <w:r w:rsidR="00686267">
        <w:rPr>
          <w:rFonts w:ascii="inherit" w:hAnsi="inherit" w:cs="Arial"/>
          <w:bCs/>
          <w:color w:val="1B1B1B"/>
          <w:spacing w:val="0"/>
          <w:szCs w:val="24"/>
        </w:rPr>
        <w:t>ń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 związan</w:t>
      </w:r>
      <w:r w:rsidR="00686267">
        <w:rPr>
          <w:rFonts w:ascii="inherit" w:hAnsi="inherit" w:cs="Arial"/>
          <w:bCs/>
          <w:color w:val="1B1B1B"/>
          <w:spacing w:val="0"/>
          <w:szCs w:val="24"/>
        </w:rPr>
        <w:t>ych</w:t>
      </w:r>
      <w:r w:rsidRPr="00B03D2A">
        <w:rPr>
          <w:rFonts w:ascii="inherit" w:hAnsi="inherit" w:cs="Arial"/>
          <w:bCs/>
          <w:color w:val="1B1B1B"/>
          <w:spacing w:val="0"/>
          <w:szCs w:val="24"/>
        </w:rPr>
        <w:t xml:space="preserve"> z uzasadnionymi czynnościami podejmowanymi w celu weryfikacji tożsamości beneficjenta rzeczywistego</w:t>
      </w:r>
      <w:r w:rsidRPr="00B03D2A">
        <w:rPr>
          <w:rFonts w:ascii="inherit" w:hAnsi="inherit" w:cs="Arial"/>
          <w:color w:val="1B1B1B"/>
          <w:spacing w:val="0"/>
          <w:szCs w:val="24"/>
        </w:rPr>
        <w:t> tj.</w:t>
      </w:r>
      <w:r w:rsidRPr="00B03D2A">
        <w:rPr>
          <w:rFonts w:ascii="inherit" w:hAnsi="inherit" w:cs="Arial"/>
          <w:color w:val="1B1B1B"/>
          <w:spacing w:val="0"/>
          <w:sz w:val="22"/>
        </w:rPr>
        <w:t> </w:t>
      </w:r>
      <w:r w:rsidRPr="00B03D2A">
        <w:rPr>
          <w:rFonts w:ascii="inherit" w:hAnsi="inherit" w:cs="Arial"/>
          <w:color w:val="1B1B1B"/>
          <w:spacing w:val="0"/>
          <w:szCs w:val="24"/>
        </w:rPr>
        <w:t>osoby fizycznej zajmującej wyższe stanowisko kierownicze (</w:t>
      </w:r>
      <w:r w:rsidR="004772E1">
        <w:rPr>
          <w:rFonts w:ascii="inherit" w:hAnsi="inherit" w:cs="Arial"/>
          <w:color w:val="1B1B1B"/>
          <w:spacing w:val="0"/>
          <w:szCs w:val="24"/>
        </w:rPr>
        <w:t>np.</w:t>
      </w:r>
      <w:r w:rsidRPr="00B03D2A">
        <w:rPr>
          <w:rFonts w:ascii="inherit" w:hAnsi="inherit" w:cs="Arial"/>
          <w:color w:val="1B1B1B"/>
          <w:spacing w:val="0"/>
          <w:szCs w:val="24"/>
        </w:rPr>
        <w:t xml:space="preserve"> brak zgłoszenia informacji o beneficjencie rzeczywistym do C</w:t>
      </w:r>
      <w:r w:rsidR="00227AE6">
        <w:rPr>
          <w:rFonts w:ascii="inherit" w:hAnsi="inherit" w:cs="Arial"/>
          <w:color w:val="1B1B1B"/>
          <w:spacing w:val="0"/>
          <w:szCs w:val="24"/>
        </w:rPr>
        <w:t>RBR</w:t>
      </w:r>
      <w:r w:rsidRPr="00B03D2A">
        <w:rPr>
          <w:rFonts w:ascii="inherit" w:hAnsi="inherit" w:cs="Arial"/>
          <w:color w:val="1B1B1B"/>
          <w:spacing w:val="0"/>
          <w:szCs w:val="24"/>
        </w:rPr>
        <w:t>, utrudnienia związane z brakiem fizycznej obecności beneficjenta, utrudnienia związane z wideoweryfikacją).</w:t>
      </w:r>
    </w:p>
    <w:p w14:paraId="0D64F55F" w14:textId="0863FF96" w:rsidR="00B177B3" w:rsidRDefault="00790021" w:rsidP="00D64465">
      <w:pPr>
        <w:shd w:val="clear" w:color="auto" w:fill="FFFFFF"/>
        <w:spacing w:before="120"/>
        <w:ind w:left="360"/>
        <w:textAlignment w:val="baseline"/>
      </w:pPr>
      <w:r>
        <w:rPr>
          <w:rFonts w:ascii="inherit" w:hAnsi="inherit" w:cs="Arial"/>
          <w:color w:val="1B1B1B"/>
          <w:spacing w:val="0"/>
          <w:szCs w:val="24"/>
        </w:rPr>
        <w:t>Rekomendacje w powyższym zakresie zawiera</w:t>
      </w:r>
      <w:r w:rsidR="00100B1D">
        <w:rPr>
          <w:rFonts w:ascii="inherit" w:hAnsi="inherit" w:cs="Arial"/>
          <w:color w:val="1B1B1B"/>
          <w:spacing w:val="0"/>
          <w:szCs w:val="24"/>
        </w:rPr>
        <w:t xml:space="preserve"> </w:t>
      </w:r>
      <w:r>
        <w:t>Komunikat nr 38</w:t>
      </w:r>
      <w:r w:rsidR="00D816C4">
        <w:t xml:space="preserve"> GIIF</w:t>
      </w:r>
      <w:r>
        <w:t xml:space="preserve"> </w:t>
      </w:r>
      <w:r w:rsidRPr="00790021">
        <w:rPr>
          <w:i/>
        </w:rPr>
        <w:t>w sprawie braku możliwości ustalenia lub wątpliwości co do tożsamości osób fizycznych określonych w art. 2 ust.2 pkt.1 lit a tiret pierwszy</w:t>
      </w:r>
      <w:r w:rsidR="004A1459">
        <w:rPr>
          <w:i/>
        </w:rPr>
        <w:t>m</w:t>
      </w:r>
      <w:r w:rsidRPr="00790021">
        <w:rPr>
          <w:i/>
        </w:rPr>
        <w:t xml:space="preserve"> –czwarty</w:t>
      </w:r>
      <w:r w:rsidR="004A1459">
        <w:rPr>
          <w:i/>
        </w:rPr>
        <w:t>m</w:t>
      </w:r>
      <w:r w:rsidRPr="00790021">
        <w:rPr>
          <w:i/>
        </w:rPr>
        <w:t xml:space="preserve"> ustawy AML</w:t>
      </w:r>
      <w:r w:rsidRPr="00D64465">
        <w:rPr>
          <w:rStyle w:val="Odwoanieprzypisudolnego"/>
        </w:rPr>
        <w:footnoteReference w:id="23"/>
      </w:r>
      <w:r w:rsidR="006F78BB" w:rsidRPr="00D64465">
        <w:t>.</w:t>
      </w:r>
    </w:p>
    <w:p w14:paraId="7525ED50" w14:textId="77777777" w:rsidR="00E056C5" w:rsidRPr="00E056C5" w:rsidRDefault="00362C23" w:rsidP="006E5D99">
      <w:pPr>
        <w:pStyle w:val="Akapitzlist"/>
        <w:numPr>
          <w:ilvl w:val="0"/>
          <w:numId w:val="4"/>
        </w:numPr>
        <w:spacing w:before="120" w:after="120"/>
        <w:rPr>
          <w:b/>
          <w:szCs w:val="24"/>
        </w:rPr>
      </w:pPr>
      <w:r w:rsidRPr="00D64465">
        <w:rPr>
          <w:b/>
          <w:szCs w:val="24"/>
        </w:rPr>
        <w:t>zasad</w:t>
      </w:r>
      <w:r w:rsidR="00273347" w:rsidRPr="00D64465">
        <w:rPr>
          <w:b/>
          <w:szCs w:val="24"/>
        </w:rPr>
        <w:t xml:space="preserve"> stosowania szczególnych środków ograniczających, o których mowa w art. 117 ustawy AML</w:t>
      </w:r>
      <w:r w:rsidR="004772E1">
        <w:rPr>
          <w:b/>
          <w:szCs w:val="24"/>
        </w:rPr>
        <w:t>;</w:t>
      </w:r>
    </w:p>
    <w:p w14:paraId="4B0E11EB" w14:textId="1FDEC7D4" w:rsidR="00D72F35" w:rsidRPr="00AC3B4E" w:rsidRDefault="00D72F35" w:rsidP="00AC7CF7">
      <w:pPr>
        <w:spacing w:after="80"/>
        <w:ind w:left="340"/>
        <w:rPr>
          <w:szCs w:val="24"/>
        </w:rPr>
      </w:pPr>
      <w:r>
        <w:rPr>
          <w:szCs w:val="24"/>
        </w:rPr>
        <w:t>Na mocy art. 118 ustawy AML, IO zobligowan</w:t>
      </w:r>
      <w:r w:rsidR="004772E1">
        <w:rPr>
          <w:szCs w:val="24"/>
        </w:rPr>
        <w:t>a</w:t>
      </w:r>
      <w:r>
        <w:rPr>
          <w:szCs w:val="24"/>
        </w:rPr>
        <w:t xml:space="preserve"> </w:t>
      </w:r>
      <w:r w:rsidR="004772E1">
        <w:rPr>
          <w:szCs w:val="24"/>
        </w:rPr>
        <w:t>jest</w:t>
      </w:r>
      <w:r>
        <w:rPr>
          <w:szCs w:val="24"/>
        </w:rPr>
        <w:t xml:space="preserve"> do stosowania szczególnych środków ograniczających wobec osób i podmiotów wskazanych w rezolucjach Rady Bezpieczeństwa ONZ, oraz na liście prowadzonej przez GIIF na podstawie art. 120 ust. 1 ustawy AML. Szczególne środki ograniczające, zgodnie z art. 117 ust. 2 ustawy AML</w:t>
      </w:r>
      <w:r w:rsidR="004772E1">
        <w:rPr>
          <w:szCs w:val="24"/>
        </w:rPr>
        <w:t>,</w:t>
      </w:r>
      <w:r>
        <w:rPr>
          <w:szCs w:val="24"/>
        </w:rPr>
        <w:t xml:space="preserve"> polegają na zamrożeniu wartości majątkowych </w:t>
      </w:r>
      <w:r w:rsidR="004772E1">
        <w:rPr>
          <w:szCs w:val="24"/>
        </w:rPr>
        <w:t xml:space="preserve">tych osób i podmiotów </w:t>
      </w:r>
      <w:r>
        <w:rPr>
          <w:szCs w:val="24"/>
        </w:rPr>
        <w:t>lub ich nieudostępnianiu.</w:t>
      </w:r>
    </w:p>
    <w:p w14:paraId="75D247F3" w14:textId="3D673FE6" w:rsidR="00D72F35" w:rsidRPr="00F80336" w:rsidRDefault="00D72F35" w:rsidP="00AC7CF7">
      <w:pPr>
        <w:spacing w:after="80"/>
        <w:ind w:left="340"/>
        <w:rPr>
          <w:rFonts w:eastAsiaTheme="minorHAnsi"/>
        </w:rPr>
      </w:pPr>
      <w:r>
        <w:t xml:space="preserve">Ponadto, </w:t>
      </w:r>
      <w:r w:rsidR="00A14ADA">
        <w:t>KIP</w:t>
      </w:r>
      <w:r>
        <w:t xml:space="preserve"> ma również obowiązek stosowania środków ograniczających wobec osób </w:t>
      </w:r>
      <w:r w:rsidR="00EC367B">
        <w:br/>
      </w:r>
      <w:r>
        <w:t xml:space="preserve">i podmiotów wskazanych na listach sankcyjnych określonych w rozporządzeniach Rady Unii Europejskiej oraz na liście, o </w:t>
      </w:r>
      <w:r w:rsidRPr="00F80336">
        <w:t>której mowa w</w:t>
      </w:r>
      <w:r w:rsidRPr="00F80336">
        <w:rPr>
          <w:rFonts w:eastAsiaTheme="minorHAnsi"/>
        </w:rPr>
        <w:t xml:space="preserve"> </w:t>
      </w:r>
      <w:r>
        <w:rPr>
          <w:rFonts w:eastAsiaTheme="minorHAnsi"/>
        </w:rPr>
        <w:t>art. 2 ust. 1 ustawy z dnia 13 kwietnia 2022 </w:t>
      </w:r>
      <w:r w:rsidRPr="00F80336">
        <w:rPr>
          <w:rFonts w:eastAsiaTheme="minorHAnsi"/>
        </w:rPr>
        <w:t xml:space="preserve">r. </w:t>
      </w:r>
      <w:r w:rsidR="00EC367B">
        <w:rPr>
          <w:rFonts w:eastAsiaTheme="minorHAnsi"/>
        </w:rPr>
        <w:br/>
      </w:r>
      <w:r w:rsidRPr="00F80336">
        <w:rPr>
          <w:rFonts w:eastAsiaTheme="minorHAnsi"/>
          <w:i/>
        </w:rPr>
        <w:t>o szczególnych rozwiązaniach w zakresie przeciwdziałania wspieraniu agresji na Ukrainę oraz służących ochronie bezpieczeństwa narodowego</w:t>
      </w:r>
      <w:r w:rsidR="00EA5820">
        <w:rPr>
          <w:rFonts w:eastAsiaTheme="minorHAnsi"/>
        </w:rPr>
        <w:t xml:space="preserve"> (Dz. U. z 2023 r. poz. 1497</w:t>
      </w:r>
      <w:bookmarkStart w:id="0" w:name="_GoBack"/>
      <w:bookmarkEnd w:id="0"/>
      <w:r w:rsidR="004D35F4">
        <w:rPr>
          <w:rFonts w:eastAsiaTheme="minorHAnsi"/>
        </w:rPr>
        <w:t xml:space="preserve"> ze zm.</w:t>
      </w:r>
      <w:r w:rsidRPr="00F80336">
        <w:rPr>
          <w:rFonts w:eastAsiaTheme="minorHAnsi"/>
        </w:rPr>
        <w:t>).</w:t>
      </w:r>
    </w:p>
    <w:p w14:paraId="1F1F1E7B" w14:textId="25DD372C" w:rsidR="00D72F35" w:rsidRPr="001F3748" w:rsidRDefault="00D72F35" w:rsidP="006B4B45">
      <w:pPr>
        <w:ind w:left="360"/>
        <w:rPr>
          <w:szCs w:val="24"/>
        </w:rPr>
      </w:pPr>
      <w:r w:rsidRPr="004772E1">
        <w:rPr>
          <w:szCs w:val="24"/>
        </w:rPr>
        <w:t xml:space="preserve">Mając na względzie powyższe wymogi, KNF oczekuje, że </w:t>
      </w:r>
      <w:r w:rsidRPr="004772E1">
        <w:rPr>
          <w:i/>
          <w:szCs w:val="24"/>
        </w:rPr>
        <w:t>Procedura</w:t>
      </w:r>
      <w:r w:rsidRPr="004772E1">
        <w:rPr>
          <w:szCs w:val="24"/>
        </w:rPr>
        <w:t xml:space="preserve"> będzie określała m.in.:</w:t>
      </w:r>
    </w:p>
    <w:p w14:paraId="07E10910" w14:textId="3BE692B5" w:rsidR="00D72F35" w:rsidRDefault="00D72F35" w:rsidP="006E5D99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zasady weryfikacji nowych i istniejących klientów </w:t>
      </w:r>
      <w:r w:rsidR="00A14ADA">
        <w:rPr>
          <w:rFonts w:eastAsia="Calibri"/>
          <w:szCs w:val="24"/>
        </w:rPr>
        <w:t>KIP</w:t>
      </w:r>
      <w:r w:rsidR="00F723C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pod kątem wyst</w:t>
      </w:r>
      <w:r w:rsidR="00F56274">
        <w:rPr>
          <w:rFonts w:eastAsia="Calibri"/>
          <w:szCs w:val="24"/>
        </w:rPr>
        <w:t>ępowania na listach sankcyjnych,</w:t>
      </w:r>
    </w:p>
    <w:p w14:paraId="5F255D03" w14:textId="1796F117" w:rsidR="00D72F35" w:rsidRPr="00C15E51" w:rsidRDefault="00D72F35" w:rsidP="006E5D99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eastAsia="Calibri"/>
          <w:szCs w:val="24"/>
        </w:rPr>
      </w:pPr>
      <w:r w:rsidRPr="002C2A94">
        <w:rPr>
          <w:rFonts w:eastAsia="Calibri"/>
          <w:szCs w:val="24"/>
        </w:rPr>
        <w:t>list</w:t>
      </w:r>
      <w:r>
        <w:rPr>
          <w:rFonts w:eastAsia="Calibri"/>
          <w:szCs w:val="24"/>
        </w:rPr>
        <w:t>y sankcyjne wykorzystywane</w:t>
      </w:r>
      <w:r w:rsidRPr="002C2A94">
        <w:rPr>
          <w:rFonts w:eastAsia="Calibri"/>
          <w:szCs w:val="24"/>
        </w:rPr>
        <w:t xml:space="preserve"> przez </w:t>
      </w:r>
      <w:r w:rsidR="00A14ADA">
        <w:rPr>
          <w:rFonts w:eastAsia="Calibri"/>
          <w:szCs w:val="24"/>
        </w:rPr>
        <w:t>KIP</w:t>
      </w:r>
      <w:r>
        <w:rPr>
          <w:rFonts w:eastAsia="Calibri"/>
          <w:szCs w:val="24"/>
        </w:rPr>
        <w:t xml:space="preserve"> </w:t>
      </w:r>
      <w:r w:rsidRPr="002C2A94">
        <w:rPr>
          <w:rFonts w:eastAsia="Calibri"/>
          <w:szCs w:val="24"/>
        </w:rPr>
        <w:t>i sp</w:t>
      </w:r>
      <w:r w:rsidR="00F56274">
        <w:rPr>
          <w:rFonts w:eastAsia="Calibri"/>
          <w:szCs w:val="24"/>
        </w:rPr>
        <w:t>osób ich aktualizacji,</w:t>
      </w:r>
    </w:p>
    <w:p w14:paraId="376E30C1" w14:textId="70F4710A" w:rsidR="00D72F35" w:rsidRDefault="00D72F35" w:rsidP="006E5D99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eastAsia="Calibri"/>
          <w:szCs w:val="24"/>
        </w:rPr>
      </w:pPr>
      <w:r w:rsidRPr="002C2A94">
        <w:rPr>
          <w:rFonts w:eastAsia="Calibri"/>
          <w:szCs w:val="24"/>
        </w:rPr>
        <w:lastRenderedPageBreak/>
        <w:t xml:space="preserve">zasady postępowania w przypadku zidentyfikowania klienta </w:t>
      </w:r>
      <w:r>
        <w:rPr>
          <w:rFonts w:eastAsia="Calibri"/>
          <w:szCs w:val="24"/>
        </w:rPr>
        <w:t>na liście sankcyjnej, w </w:t>
      </w:r>
      <w:r w:rsidRPr="002C2A94">
        <w:rPr>
          <w:rFonts w:eastAsia="Calibri"/>
          <w:szCs w:val="24"/>
        </w:rPr>
        <w:t xml:space="preserve">szczególności zasady </w:t>
      </w:r>
      <w:r w:rsidR="00F56274">
        <w:rPr>
          <w:rFonts w:eastAsia="Calibri"/>
          <w:szCs w:val="24"/>
        </w:rPr>
        <w:t>zamrażania wartości majątkowych,</w:t>
      </w:r>
    </w:p>
    <w:p w14:paraId="19B45F69" w14:textId="1CDE2FFA" w:rsidR="000867E7" w:rsidRPr="000872E3" w:rsidRDefault="00D72F35" w:rsidP="0091365C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eastAsia="Calibri"/>
          <w:szCs w:val="24"/>
        </w:rPr>
      </w:pPr>
      <w:r w:rsidRPr="00C15E51">
        <w:rPr>
          <w:rFonts w:eastAsia="Calibri"/>
        </w:rPr>
        <w:t xml:space="preserve">zasady przekazywania informacji do GIIF lub Szefa Krajowej Administracji Skarbowej w związku z zastosowaniem </w:t>
      </w:r>
      <w:r>
        <w:rPr>
          <w:rFonts w:eastAsia="Calibri"/>
        </w:rPr>
        <w:t xml:space="preserve">przez </w:t>
      </w:r>
      <w:r w:rsidR="00A14ADA">
        <w:rPr>
          <w:rFonts w:eastAsia="Calibri"/>
        </w:rPr>
        <w:t>KIP</w:t>
      </w:r>
      <w:r>
        <w:rPr>
          <w:rFonts w:eastAsia="Calibri"/>
        </w:rPr>
        <w:t xml:space="preserve"> </w:t>
      </w:r>
      <w:r w:rsidRPr="00C15E51">
        <w:rPr>
          <w:rFonts w:eastAsia="Calibri"/>
        </w:rPr>
        <w:t>odpowiednich środków wobec osób i podmiotów wskazanych na listach sankcyjnych.</w:t>
      </w:r>
    </w:p>
    <w:p w14:paraId="12E34398" w14:textId="77777777" w:rsidR="000872E3" w:rsidRPr="0091365C" w:rsidRDefault="000872E3" w:rsidP="000872E3">
      <w:pPr>
        <w:autoSpaceDE w:val="0"/>
        <w:autoSpaceDN w:val="0"/>
        <w:adjustRightInd w:val="0"/>
        <w:ind w:left="714"/>
        <w:rPr>
          <w:rFonts w:eastAsia="Calibri"/>
          <w:szCs w:val="24"/>
        </w:rPr>
      </w:pPr>
    </w:p>
    <w:p w14:paraId="4457C1D7" w14:textId="77777777" w:rsidR="004772E1" w:rsidRPr="006B4B45" w:rsidRDefault="004772E1" w:rsidP="006E5D99">
      <w:pPr>
        <w:pStyle w:val="Akapitzlist"/>
        <w:numPr>
          <w:ilvl w:val="0"/>
          <w:numId w:val="20"/>
        </w:numPr>
        <w:spacing w:before="120"/>
        <w:rPr>
          <w:b/>
        </w:rPr>
      </w:pPr>
      <w:r w:rsidRPr="006B4B45">
        <w:rPr>
          <w:b/>
        </w:rPr>
        <w:t xml:space="preserve">Podsumowanie </w:t>
      </w:r>
    </w:p>
    <w:p w14:paraId="1B269AD9" w14:textId="3CD340AF" w:rsidR="004772E1" w:rsidRDefault="002C032B" w:rsidP="00AC7CF7">
      <w:pPr>
        <w:spacing w:before="120"/>
      </w:pPr>
      <w:r>
        <w:t xml:space="preserve">Należy wskazać, iż powyższe wskazówki określają </w:t>
      </w:r>
      <w:r w:rsidRPr="006B4B45">
        <w:rPr>
          <w:b/>
          <w:u w:val="single"/>
        </w:rPr>
        <w:t>minimalny zakres</w:t>
      </w:r>
      <w:r w:rsidRPr="006B4B45">
        <w:rPr>
          <w:b/>
        </w:rPr>
        <w:t xml:space="preserve"> zagadnień i obowiązków, które uwzględnić </w:t>
      </w:r>
      <w:r w:rsidR="0072344D">
        <w:rPr>
          <w:b/>
        </w:rPr>
        <w:t>powinna</w:t>
      </w:r>
      <w:r w:rsidR="0072344D" w:rsidRPr="006B4B45">
        <w:rPr>
          <w:b/>
        </w:rPr>
        <w:t xml:space="preserve"> </w:t>
      </w:r>
      <w:r w:rsidR="0072344D">
        <w:rPr>
          <w:b/>
        </w:rPr>
        <w:t>instytucja płatnicza</w:t>
      </w:r>
      <w:r w:rsidRPr="006B4B45">
        <w:rPr>
          <w:b/>
        </w:rPr>
        <w:t xml:space="preserve"> w swoich regulacjach wewnętrznych z zakresu przestrzegania przepisów wynikających z </w:t>
      </w:r>
      <w:r w:rsidR="00227AE6" w:rsidRPr="006B4B45">
        <w:rPr>
          <w:b/>
        </w:rPr>
        <w:t>u</w:t>
      </w:r>
      <w:r w:rsidRPr="006B4B45">
        <w:rPr>
          <w:b/>
        </w:rPr>
        <w:t>stawy AML</w:t>
      </w:r>
      <w:r>
        <w:t xml:space="preserve">. Każda </w:t>
      </w:r>
      <w:r w:rsidRPr="00EC367B">
        <w:rPr>
          <w:i/>
        </w:rPr>
        <w:t>Procedura</w:t>
      </w:r>
      <w:r>
        <w:t xml:space="preserve"> powinna </w:t>
      </w:r>
      <w:r w:rsidR="00C00CC3">
        <w:t>regulować</w:t>
      </w:r>
      <w:r>
        <w:t xml:space="preserve"> wykonywanie ustawowych obowiązków w praktyce z uwzględnieniem skali i rodzaju prowadzonej działalności</w:t>
      </w:r>
      <w:r w:rsidR="00602FAE">
        <w:t xml:space="preserve"> oraz obsługiwanych </w:t>
      </w:r>
      <w:r>
        <w:t xml:space="preserve">przez </w:t>
      </w:r>
      <w:r w:rsidR="00A14ADA">
        <w:t>KIP</w:t>
      </w:r>
      <w:r w:rsidR="0072344D">
        <w:t xml:space="preserve"> </w:t>
      </w:r>
      <w:r w:rsidR="006079B1">
        <w:t>klientów</w:t>
      </w:r>
      <w:r w:rsidR="000867E7">
        <w:t xml:space="preserve"> oraz jej agentów</w:t>
      </w:r>
      <w:r>
        <w:t xml:space="preserve">. </w:t>
      </w:r>
      <w:r w:rsidR="00602FAE">
        <w:t>Ponadto dokument ten, jak również jego aktualizacje</w:t>
      </w:r>
      <w:r w:rsidR="00227AE6">
        <w:t>,</w:t>
      </w:r>
      <w:r w:rsidR="00602FAE">
        <w:t xml:space="preserve"> powin</w:t>
      </w:r>
      <w:r w:rsidR="00227AE6">
        <w:t>ien</w:t>
      </w:r>
      <w:r w:rsidR="00602FAE">
        <w:t xml:space="preserve"> </w:t>
      </w:r>
      <w:r w:rsidR="00C00CC3">
        <w:t xml:space="preserve">być </w:t>
      </w:r>
      <w:r w:rsidR="00602FAE">
        <w:t>formalnie przyjęt</w:t>
      </w:r>
      <w:r w:rsidR="00227AE6">
        <w:t>y</w:t>
      </w:r>
      <w:r w:rsidR="004D35F4">
        <w:t xml:space="preserve"> co najmniej</w:t>
      </w:r>
      <w:r w:rsidR="00602FAE">
        <w:t xml:space="preserve"> przez organ zarządzający </w:t>
      </w:r>
      <w:r w:rsidR="00A14ADA">
        <w:t>KIP</w:t>
      </w:r>
      <w:r w:rsidR="00602FAE">
        <w:t xml:space="preserve">.  </w:t>
      </w:r>
    </w:p>
    <w:p w14:paraId="0F653B4A" w14:textId="77777777" w:rsidR="000872E3" w:rsidRDefault="000872E3" w:rsidP="00AC7CF7">
      <w:pPr>
        <w:spacing w:before="120"/>
      </w:pPr>
    </w:p>
    <w:p w14:paraId="330F43C9" w14:textId="77777777" w:rsidR="001F3748" w:rsidRPr="00FC2BB0" w:rsidRDefault="001F3748" w:rsidP="006E5D99">
      <w:pPr>
        <w:pStyle w:val="Akapitzlist"/>
        <w:numPr>
          <w:ilvl w:val="0"/>
          <w:numId w:val="20"/>
        </w:numPr>
        <w:spacing w:before="120"/>
        <w:rPr>
          <w:b/>
          <w:i/>
        </w:rPr>
      </w:pPr>
      <w:r w:rsidRPr="00FC2BB0">
        <w:rPr>
          <w:b/>
        </w:rPr>
        <w:t xml:space="preserve">Sankcja karno-administracyjna za brak </w:t>
      </w:r>
      <w:r w:rsidRPr="00FC2BB0">
        <w:rPr>
          <w:b/>
          <w:i/>
        </w:rPr>
        <w:t>Procedury</w:t>
      </w:r>
    </w:p>
    <w:p w14:paraId="6BA83E66" w14:textId="30F06409" w:rsidR="001F3748" w:rsidRDefault="001F3748" w:rsidP="006B4B45">
      <w:pPr>
        <w:spacing w:before="120" w:after="120"/>
      </w:pPr>
      <w:r>
        <w:t xml:space="preserve">KNF wskazuje, że zgodnie z art. 147 pkt 7 ustawy AML, IO, która nie dopełnia obowiązku wprowadzenia wewnętrznej procedury, o której mowa w art. 50 ustawy AML, podlega karze administracyjnej. Oznacza to, że </w:t>
      </w:r>
      <w:r w:rsidRPr="007A7D7A">
        <w:rPr>
          <w:i/>
        </w:rPr>
        <w:t>Procedura</w:t>
      </w:r>
      <w:r>
        <w:t xml:space="preserve"> musi spełniać </w:t>
      </w:r>
      <w:r w:rsidRPr="00F56274">
        <w:rPr>
          <w:b/>
        </w:rPr>
        <w:t>wszystkie wymogi</w:t>
      </w:r>
      <w:r>
        <w:t xml:space="preserve"> wskazane w art. 50 ust. 2 ustawy AML, aby można było potwierdzić, że </w:t>
      </w:r>
      <w:r w:rsidR="00A14ADA">
        <w:t>KIP</w:t>
      </w:r>
      <w:r>
        <w:t xml:space="preserve"> posiada </w:t>
      </w:r>
      <w:r w:rsidRPr="001F3748">
        <w:rPr>
          <w:i/>
        </w:rPr>
        <w:t>Pro</w:t>
      </w:r>
      <w:r w:rsidRPr="006B4B45">
        <w:rPr>
          <w:i/>
        </w:rPr>
        <w:t>cedurę</w:t>
      </w:r>
      <w:r>
        <w:t>.</w:t>
      </w:r>
      <w:r w:rsidR="00510C9E">
        <w:t xml:space="preserve"> </w:t>
      </w:r>
    </w:p>
    <w:p w14:paraId="113A8AB5" w14:textId="77777777" w:rsidR="0091365C" w:rsidRDefault="0091365C" w:rsidP="006B4B45">
      <w:pPr>
        <w:spacing w:before="120" w:after="120"/>
      </w:pPr>
    </w:p>
    <w:p w14:paraId="10BC8B87" w14:textId="77777777" w:rsidR="004772E1" w:rsidRPr="006B4B45" w:rsidRDefault="004772E1" w:rsidP="006E5D99">
      <w:pPr>
        <w:pStyle w:val="Akapitzlist"/>
        <w:numPr>
          <w:ilvl w:val="0"/>
          <w:numId w:val="20"/>
        </w:numPr>
        <w:spacing w:before="120" w:after="120"/>
        <w:rPr>
          <w:b/>
        </w:rPr>
      </w:pPr>
      <w:r w:rsidRPr="006B4B45">
        <w:rPr>
          <w:b/>
        </w:rPr>
        <w:t>Informacja dodatkowa</w:t>
      </w:r>
    </w:p>
    <w:p w14:paraId="2C416A39" w14:textId="649DC601" w:rsidR="00EC3078" w:rsidRDefault="00EC3078" w:rsidP="00AC7CF7">
      <w:pPr>
        <w:spacing w:before="120"/>
      </w:pPr>
      <w:r>
        <w:t xml:space="preserve">Jednocześnie </w:t>
      </w:r>
      <w:r w:rsidR="004D26EF">
        <w:t xml:space="preserve">podmioty </w:t>
      </w:r>
      <w:r w:rsidR="00510C9E">
        <w:t xml:space="preserve">ubiegające się o uzyskanie </w:t>
      </w:r>
      <w:r w:rsidR="004772E1">
        <w:t>status</w:t>
      </w:r>
      <w:r w:rsidR="00510C9E">
        <w:t>u</w:t>
      </w:r>
      <w:r>
        <w:t xml:space="preserve"> KIP </w:t>
      </w:r>
      <w:r w:rsidR="004D35F4">
        <w:t xml:space="preserve">powinny </w:t>
      </w:r>
      <w:r>
        <w:t xml:space="preserve">być </w:t>
      </w:r>
      <w:r w:rsidR="004D26EF">
        <w:t>świadome</w:t>
      </w:r>
      <w:r>
        <w:t>, iż ze względu na charakter relacji instytucji płatniczej z instytucjami sektora bankowego</w:t>
      </w:r>
      <w:r w:rsidR="004772E1">
        <w:t>,</w:t>
      </w:r>
      <w:r>
        <w:t xml:space="preserve"> koni</w:t>
      </w:r>
      <w:r w:rsidR="00B278A1">
        <w:t>e</w:t>
      </w:r>
      <w:r>
        <w:t xml:space="preserve">czne może być </w:t>
      </w:r>
      <w:r w:rsidR="00B278A1">
        <w:t xml:space="preserve">przekazanie przez </w:t>
      </w:r>
      <w:r w:rsidR="006438B7">
        <w:t>instytucj</w:t>
      </w:r>
      <w:r w:rsidR="004D26EF">
        <w:t>ę</w:t>
      </w:r>
      <w:r w:rsidR="006438B7">
        <w:t xml:space="preserve"> płatnicz</w:t>
      </w:r>
      <w:r w:rsidR="004D26EF">
        <w:t>ą</w:t>
      </w:r>
      <w:r w:rsidR="00B278A1">
        <w:t xml:space="preserve"> szerszego zakresu informacji dotyczącego działalności płatniczej</w:t>
      </w:r>
      <w:r w:rsidR="00510C9E">
        <w:t xml:space="preserve"> </w:t>
      </w:r>
      <w:r w:rsidR="006438B7">
        <w:t>niezbędnego do właściwego oszacowania ryzyka ML/FT oraz zastosowania właściwych środków bezpieczeństwa finansowego</w:t>
      </w:r>
      <w:r w:rsidR="00AE554C">
        <w:t xml:space="preserve"> przez instytucje sektora bankowego</w:t>
      </w:r>
      <w:r w:rsidR="002A1808">
        <w:t>.</w:t>
      </w:r>
      <w:r>
        <w:t xml:space="preserve"> </w:t>
      </w:r>
      <w:r w:rsidR="00B278A1">
        <w:t>P</w:t>
      </w:r>
      <w:r>
        <w:t>rzykładowy zakres</w:t>
      </w:r>
      <w:r w:rsidR="00B278A1">
        <w:t xml:space="preserve"> dodatkowych informacji wskazany został w Stanowisku </w:t>
      </w:r>
      <w:r w:rsidR="004D26EF">
        <w:t>U</w:t>
      </w:r>
      <w:r>
        <w:t xml:space="preserve">KNF </w:t>
      </w:r>
      <w:r w:rsidR="00B278A1">
        <w:t xml:space="preserve">z dnia 2 czerwca 2020 r. </w:t>
      </w:r>
      <w:r w:rsidR="00B278A1" w:rsidRPr="00DE3A52">
        <w:rPr>
          <w:i/>
        </w:rPr>
        <w:t>dotyczącym stosowania kwestionariusza ankietowego przez banki wobec instytucji sektora usług płatniczych</w:t>
      </w:r>
      <w:r w:rsidR="00DE3A52">
        <w:rPr>
          <w:rStyle w:val="Odwoanieprzypisudolnego"/>
          <w:i/>
        </w:rPr>
        <w:footnoteReference w:id="24"/>
      </w:r>
      <w:r w:rsidR="00B278A1">
        <w:t xml:space="preserve"> oraz informacji uzupełniającej z dnia 26 września 2022 r. do ww. Stanowiska</w:t>
      </w:r>
      <w:r w:rsidR="00035BED">
        <w:rPr>
          <w:rStyle w:val="Odwoanieprzypisudolnego"/>
        </w:rPr>
        <w:footnoteReference w:id="25"/>
      </w:r>
      <w:r w:rsidR="00B278A1">
        <w:t xml:space="preserve">. </w:t>
      </w:r>
    </w:p>
    <w:p w14:paraId="6494DEAD" w14:textId="76BC13B3" w:rsidR="00461CF3" w:rsidRDefault="00461CF3" w:rsidP="006B4B45">
      <w:pPr>
        <w:pStyle w:val="Akapitzlist"/>
        <w:spacing w:before="120"/>
        <w:ind w:left="1080"/>
      </w:pPr>
    </w:p>
    <w:sectPr w:rsidR="00461CF3" w:rsidSect="006B4B4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BC85" w14:textId="77777777" w:rsidR="00946E0A" w:rsidRDefault="00946E0A" w:rsidP="00B819B0">
      <w:pPr>
        <w:spacing w:line="240" w:lineRule="auto"/>
      </w:pPr>
      <w:r>
        <w:separator/>
      </w:r>
    </w:p>
  </w:endnote>
  <w:endnote w:type="continuationSeparator" w:id="0">
    <w:p w14:paraId="6AC8C873" w14:textId="77777777" w:rsidR="00946E0A" w:rsidRDefault="00946E0A" w:rsidP="00B81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489863"/>
      <w:docPartObj>
        <w:docPartGallery w:val="Page Numbers (Bottom of Page)"/>
        <w:docPartUnique/>
      </w:docPartObj>
    </w:sdtPr>
    <w:sdtEndPr/>
    <w:sdtContent>
      <w:p w14:paraId="7D0107F6" w14:textId="6FAA1335" w:rsidR="0086229C" w:rsidRDefault="008622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20">
          <w:rPr>
            <w:noProof/>
          </w:rPr>
          <w:t>18</w:t>
        </w:r>
        <w:r>
          <w:fldChar w:fldCharType="end"/>
        </w:r>
      </w:p>
    </w:sdtContent>
  </w:sdt>
  <w:p w14:paraId="2B9B65CC" w14:textId="77777777" w:rsidR="0086229C" w:rsidRDefault="0086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8BF8" w14:textId="77777777" w:rsidR="00946E0A" w:rsidRDefault="00946E0A" w:rsidP="00B819B0">
      <w:pPr>
        <w:spacing w:line="240" w:lineRule="auto"/>
      </w:pPr>
      <w:r>
        <w:separator/>
      </w:r>
    </w:p>
  </w:footnote>
  <w:footnote w:type="continuationSeparator" w:id="0">
    <w:p w14:paraId="1C5308FD" w14:textId="77777777" w:rsidR="00946E0A" w:rsidRDefault="00946E0A" w:rsidP="00B819B0">
      <w:pPr>
        <w:spacing w:line="240" w:lineRule="auto"/>
      </w:pPr>
      <w:r>
        <w:continuationSeparator/>
      </w:r>
    </w:p>
  </w:footnote>
  <w:footnote w:id="1">
    <w:p w14:paraId="04C392BC" w14:textId="42185863" w:rsidR="0086229C" w:rsidRPr="00FB2234" w:rsidRDefault="0086229C" w:rsidP="00651268">
      <w:r w:rsidRPr="00E34F58">
        <w:rPr>
          <w:rStyle w:val="Odwoanieprzypisudolnego"/>
          <w:sz w:val="18"/>
        </w:rPr>
        <w:footnoteRef/>
      </w:r>
      <w:r>
        <w:t xml:space="preserve"> </w:t>
      </w:r>
      <w:hyperlink r:id="rId1" w:history="1">
        <w:r w:rsidRPr="00C91E25">
          <w:rPr>
            <w:rStyle w:val="Hipercze"/>
            <w:sz w:val="16"/>
          </w:rPr>
          <w:t>https://www.gov.pl/web/finanse/komunikaty-giif</w:t>
        </w:r>
      </w:hyperlink>
    </w:p>
  </w:footnote>
  <w:footnote w:id="2">
    <w:p w14:paraId="5DE0EBA5" w14:textId="528844E9" w:rsidR="0086229C" w:rsidRDefault="0086229C">
      <w:pPr>
        <w:pStyle w:val="Tekstprzypisudolnego"/>
      </w:pPr>
      <w:r w:rsidRPr="00ED2B1F">
        <w:rPr>
          <w:rStyle w:val="Odwoanieprzypisudolnego"/>
        </w:rPr>
        <w:footnoteRef/>
      </w:r>
      <w:r w:rsidRPr="00ED2B1F">
        <w:t xml:space="preserve"> </w:t>
      </w:r>
      <w:hyperlink r:id="rId2" w:history="1">
        <w:r w:rsidRPr="00C91E25">
          <w:rPr>
            <w:rStyle w:val="Hipercze"/>
          </w:rPr>
          <w:t>https://www.knf.gov.pl/knf/pl/komponenty/img/Stanowisko_UKNF_AMLRO_80468.pdf</w:t>
        </w:r>
      </w:hyperlink>
    </w:p>
  </w:footnote>
  <w:footnote w:id="3">
    <w:p w14:paraId="18BCFF5F" w14:textId="5D52DD8C" w:rsidR="0086229C" w:rsidRPr="001C5DCC" w:rsidRDefault="0086229C">
      <w:pPr>
        <w:pStyle w:val="Tekstprzypisudolnego"/>
      </w:pPr>
      <w:r>
        <w:rPr>
          <w:rStyle w:val="Odwoanieprzypisudolnego"/>
        </w:rPr>
        <w:footnoteRef/>
      </w:r>
      <w:r>
        <w:t xml:space="preserve"> Dodatkowymi czynnikami ryzyka mogą być np.: narzędzia i systemy informatyczne wykorzystywane przez IO, stopień uzależnienia w obszarze </w:t>
      </w:r>
      <w:r w:rsidRPr="008B572C">
        <w:t>AML/CFT</w:t>
      </w:r>
      <w:r>
        <w:rPr>
          <w:i/>
        </w:rPr>
        <w:t xml:space="preserve"> </w:t>
      </w:r>
      <w:r w:rsidRPr="001C5DCC">
        <w:t xml:space="preserve">od </w:t>
      </w:r>
      <w:r>
        <w:t>dostawców zewnętrznych, outsourcing procesów, struktura organizacyjna, efektywność systemu kontroli wewnętrznej, dostępność i efektywność szkoleń.</w:t>
      </w:r>
    </w:p>
  </w:footnote>
  <w:footnote w:id="4">
    <w:p w14:paraId="259D9E9A" w14:textId="0999DF9E" w:rsidR="0086229C" w:rsidRDefault="008622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E25">
        <w:rPr>
          <w:rStyle w:val="Hipercze"/>
        </w:rPr>
        <w:t>https://www.gov.pl/web/finanse/krajowa-ocena-ryzyka-prania-pieniedzy-oraz-finansowania-terroryzmu</w:t>
      </w:r>
    </w:p>
  </w:footnote>
  <w:footnote w:id="5">
    <w:p w14:paraId="63C9A969" w14:textId="54A2F399" w:rsidR="00404ADD" w:rsidRDefault="00404A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4ADD">
        <w:t>Takim czynnikiem ryzyka w latach 20</w:t>
      </w:r>
      <w:r w:rsidR="00C91E25">
        <w:t>20-2022 była pandemia COVID-19</w:t>
      </w:r>
    </w:p>
  </w:footnote>
  <w:footnote w:id="6">
    <w:p w14:paraId="1476DB93" w14:textId="3BB22553" w:rsidR="0086229C" w:rsidRPr="00EB5E7B" w:rsidRDefault="008622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E25">
        <w:rPr>
          <w:rStyle w:val="Hipercze"/>
        </w:rPr>
        <w:t>https://www.knf.gov.pl/komunikacja/komunikaty?articleId=78557&amp;p_id=18</w:t>
      </w:r>
    </w:p>
  </w:footnote>
  <w:footnote w:id="7">
    <w:p w14:paraId="2ED251F9" w14:textId="30C8141F" w:rsidR="0086229C" w:rsidRPr="00C91E25" w:rsidRDefault="0086229C" w:rsidP="00F11D6A">
      <w:pPr>
        <w:pStyle w:val="Tekstprzypisudolnego"/>
        <w:rPr>
          <w:rStyle w:val="Hipercze"/>
        </w:rPr>
      </w:pPr>
      <w:r w:rsidRPr="00D61B08">
        <w:rPr>
          <w:rStyle w:val="Odwoanieprzypisudolnego"/>
        </w:rPr>
        <w:footnoteRef/>
      </w:r>
      <w:r w:rsidRPr="00D61B08">
        <w:t xml:space="preserve"> </w:t>
      </w:r>
      <w:hyperlink r:id="rId3" w:history="1">
        <w:r w:rsidRPr="00C91E25">
          <w:rPr>
            <w:rStyle w:val="Hipercze"/>
          </w:rPr>
          <w:t>https://www.gov.pl/web/finanse/komunikat-nr-36-w-sprawie-oceny-ryzyka-instytucji-obowiazanej</w:t>
        </w:r>
      </w:hyperlink>
    </w:p>
  </w:footnote>
  <w:footnote w:id="8">
    <w:p w14:paraId="559F8071" w14:textId="65BF40AE" w:rsidR="0086229C" w:rsidRPr="00D61B08" w:rsidRDefault="0086229C" w:rsidP="00F11D6A">
      <w:pPr>
        <w:pStyle w:val="Tekstprzypisudolnego"/>
      </w:pPr>
      <w:r w:rsidRPr="00D61B08">
        <w:rPr>
          <w:rStyle w:val="Odwoanieprzypisudolnego"/>
        </w:rPr>
        <w:footnoteRef/>
      </w:r>
      <w:r w:rsidRPr="00D61B08">
        <w:t xml:space="preserve"> </w:t>
      </w:r>
      <w:hyperlink r:id="rId4" w:history="1">
        <w:r w:rsidRPr="00C91E25">
          <w:rPr>
            <w:rStyle w:val="Hipercze"/>
          </w:rPr>
          <w:t>https://www.knf.gov.pl/komunikacja/komunikaty?articleId=69504&amp;p_id=18</w:t>
        </w:r>
      </w:hyperlink>
      <w:r w:rsidRPr="00D61B08">
        <w:t xml:space="preserve"> </w:t>
      </w:r>
    </w:p>
  </w:footnote>
  <w:footnote w:id="9">
    <w:p w14:paraId="630F57B9" w14:textId="1A1278AE" w:rsidR="0086229C" w:rsidRPr="00173396" w:rsidRDefault="0086229C">
      <w:pPr>
        <w:pStyle w:val="Tekstprzypisudolnego"/>
      </w:pPr>
      <w:r>
        <w:rPr>
          <w:rStyle w:val="Odwoanieprzypisudolnego"/>
        </w:rPr>
        <w:footnoteRef/>
      </w:r>
      <w:r w:rsidRPr="00C91E25">
        <w:rPr>
          <w:rStyle w:val="Hipercze"/>
        </w:rPr>
        <w:t>https://www.gov.pl/web/finanse/komunikat-nr-45-w-sprawie-oceniania-informacji-uzyskiwanych-o-klientach-przez-instytucje-obowiazane-i-dzialan-w-przypadku-braku-mozliwosci-zastosowania-srodkow-bezpieczenstwa-finansowego</w:t>
      </w:r>
    </w:p>
  </w:footnote>
  <w:footnote w:id="10">
    <w:p w14:paraId="5EA54AE4" w14:textId="13C1F9BF" w:rsidR="0086229C" w:rsidRDefault="0086229C">
      <w:pPr>
        <w:pStyle w:val="Tekstprzypisudolnego"/>
      </w:pPr>
      <w:r>
        <w:rPr>
          <w:rStyle w:val="Odwoanieprzypisudolnego"/>
        </w:rPr>
        <w:footnoteRef/>
      </w:r>
      <w:r>
        <w:t xml:space="preserve"> Państwem trzecim wysokiego ryzyka </w:t>
      </w:r>
      <w:r w:rsidR="004D26EF">
        <w:t xml:space="preserve">są </w:t>
      </w:r>
      <w:r>
        <w:t>państwa wskazane w rozporządzeniu delegowanym Komisji (UE) 2016/1675 z 14.07.2016 r. uzupełniającym dyrektywę Parlamentu Europejskiego i Rady (UE) 2015/849 przez wskazanie państw trzecich wysokiego ryzyka mających strategiczne braki.</w:t>
      </w:r>
    </w:p>
  </w:footnote>
  <w:footnote w:id="11">
    <w:p w14:paraId="0637023F" w14:textId="22419444" w:rsidR="0086229C" w:rsidRDefault="0086229C">
      <w:pPr>
        <w:pStyle w:val="Tekstprzypisudolnego"/>
      </w:pPr>
      <w:r>
        <w:rPr>
          <w:rStyle w:val="Odwoanieprzypisudolnego"/>
        </w:rPr>
        <w:footnoteRef/>
      </w:r>
      <w:r w:rsidRPr="00C91E25">
        <w:rPr>
          <w:rStyle w:val="Hipercze"/>
        </w:rPr>
        <w:t>https://www.knf.gov.pl/knf/pl/komponenty/img/Stanowisko_UKNF_dot_identyfikacji_klienta_i_weryfikacji_jego_tozsamosci_w_bankach_oraz_oddzialach_instytucji_kredytowych_w_oparciu_o_metode_wideoweryfikacji_66066.pdf</w:t>
      </w:r>
    </w:p>
  </w:footnote>
  <w:footnote w:id="12">
    <w:p w14:paraId="075DD034" w14:textId="1FB7968E" w:rsidR="0086229C" w:rsidRDefault="008622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E25">
        <w:rPr>
          <w:rStyle w:val="Hipercze"/>
        </w:rPr>
        <w:t>www.knf.gov.pl/aktualnosci?articleId=77311&amp;p_id=18</w:t>
      </w:r>
    </w:p>
  </w:footnote>
  <w:footnote w:id="13">
    <w:p w14:paraId="35091FE7" w14:textId="7A91EFF4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r w:rsidRPr="00D97EC8">
        <w:rPr>
          <w:i/>
          <w:lang w:val="en-GB"/>
        </w:rPr>
        <w:t>Financial Action Task Force</w:t>
      </w:r>
      <w:r w:rsidR="00CE6188" w:rsidRPr="00D97EC8">
        <w:rPr>
          <w:lang w:val="en-GB"/>
        </w:rPr>
        <w:t>.</w:t>
      </w:r>
    </w:p>
  </w:footnote>
  <w:footnote w:id="14">
    <w:p w14:paraId="3A199F8F" w14:textId="1464ED97" w:rsidR="0086229C" w:rsidRPr="00D97EC8" w:rsidRDefault="0086229C" w:rsidP="008A12C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91E25">
        <w:rPr>
          <w:rStyle w:val="Hipercze"/>
        </w:rPr>
        <w:t>https://www.gov.pl/web/finanse/komunikat-nr-31-w-sprawie-dzialan-podejmowanych-przez-instytucje-obowiazane-w-przypadku-realizacji-przez-klienta-transakcji-niezgodnych-z-wiedza-tej-instytucji-o-kliencie-rodzaju-i-zakresie-prowadzonej-przez-niego-dzialalnosci</w:t>
      </w:r>
    </w:p>
  </w:footnote>
  <w:footnote w:id="15">
    <w:p w14:paraId="35CF42E2" w14:textId="1F572EC9" w:rsidR="0086229C" w:rsidRPr="00D97EC8" w:rsidRDefault="0086229C" w:rsidP="00B22FE2">
      <w:pPr>
        <w:pStyle w:val="Tekstkomentarza"/>
        <w:spacing w:line="276" w:lineRule="auto"/>
        <w:rPr>
          <w:lang w:val="en-GB"/>
        </w:rPr>
      </w:pPr>
      <w:r w:rsidRPr="008A12C8">
        <w:rPr>
          <w:rStyle w:val="Odwoanieprzypisudolnego"/>
          <w:sz w:val="16"/>
          <w:szCs w:val="16"/>
        </w:rPr>
        <w:footnoteRef/>
      </w:r>
      <w:hyperlink r:id="rId5" w:history="1">
        <w:r w:rsidRPr="00C91E25">
          <w:rPr>
            <w:rStyle w:val="Hipercze"/>
            <w:sz w:val="16"/>
          </w:rPr>
          <w:t>https://www.eba.europa.eu/sites/default/documents/files/document_library/About%20Us/Governance%20structure/JC/Publications/Guidelines/1050460/Joint%20Guidelines%20to%20prevent%20TF%20and%20ML%20in%20electronic%20fund%20transfers_PL_16-01-2018.pdf?retry=1</w:t>
        </w:r>
      </w:hyperlink>
    </w:p>
  </w:footnote>
  <w:footnote w:id="16">
    <w:p w14:paraId="6B45B7C8" w14:textId="7CBADE40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r w:rsidRPr="00C91E25">
        <w:rPr>
          <w:rStyle w:val="Hipercze"/>
        </w:rPr>
        <w:t>https://</w:t>
      </w:r>
      <w:hyperlink r:id="rId6" w:history="1">
        <w:r w:rsidRPr="00C91E25">
          <w:rPr>
            <w:rStyle w:val="Hipercze"/>
          </w:rPr>
          <w:t>www.knf.gov.pl/knf/pl/komponenty/img/Stanowisko_UKNF_dot_informacji_towarzyszacych_transferom_srodkow_pienieznych_80201.pdf</w:t>
        </w:r>
      </w:hyperlink>
      <w:r w:rsidRPr="00C91E25">
        <w:rPr>
          <w:rStyle w:val="Hipercze"/>
        </w:rPr>
        <w:t xml:space="preserve"> </w:t>
      </w:r>
    </w:p>
  </w:footnote>
  <w:footnote w:id="17">
    <w:p w14:paraId="6CA87222" w14:textId="12B1DCE6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r w:rsidRPr="00C91E25">
        <w:rPr>
          <w:rStyle w:val="Hipercze"/>
        </w:rPr>
        <w:t>https://eur-lex.europa.eu/legal-content/PL/TXT/?uri=CELEX%3A32016R0679</w:t>
      </w:r>
    </w:p>
  </w:footnote>
  <w:footnote w:id="18">
    <w:p w14:paraId="152F7392" w14:textId="071DDE2F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r w:rsidRPr="00C91E25">
        <w:rPr>
          <w:rStyle w:val="Hipercze"/>
        </w:rPr>
        <w:t>https://www.gov.pl/web/finanse/komunikat-nr-45-w-sprawie-oceniania-informacji-uzyskiwanych-o-klientach-przez-instytucje-obowiazane-i-dzialan-w-przypadku-braku-mozliwosci-zastosowania-srodkow-bezpieczenstwa-finansowego</w:t>
      </w:r>
    </w:p>
  </w:footnote>
  <w:footnote w:id="19">
    <w:p w14:paraId="58716D32" w14:textId="45D41CD0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r w:rsidRPr="00C91E25">
        <w:rPr>
          <w:rStyle w:val="Hipercze"/>
        </w:rPr>
        <w:t>https://www.gov.pl/web/finanse/komunikat-nr-11-w-sprawie-raportowania-do-giif-informacji-o-transakcjach-ponadprogowych-o-ktorych-mowa-w-art-72-ust-1-pkt-1-i-2-ustawy-aml</w:t>
      </w:r>
    </w:p>
  </w:footnote>
  <w:footnote w:id="20">
    <w:p w14:paraId="12770A1B" w14:textId="2A196210" w:rsidR="0086229C" w:rsidRPr="00D97EC8" w:rsidRDefault="0086229C" w:rsidP="00C91E2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91E25">
        <w:rPr>
          <w:rStyle w:val="Hipercze"/>
        </w:rPr>
        <w:t>https://ww]w.gov.pl/web/finanse/komunikat-nr-22-w-sprawie-praktycznych-aspektow-stosowania-srodkow-bezpieczenstwa-finansowego-oraz-przekazywania-zawiadomien-o-ktorych-mowa-w-art-74-i-art-86-ustawy-aml2</w:t>
      </w:r>
    </w:p>
  </w:footnote>
  <w:footnote w:id="21">
    <w:p w14:paraId="7BCB79B5" w14:textId="4B88E18D" w:rsidR="0086229C" w:rsidRPr="00D97EC8" w:rsidRDefault="0086229C" w:rsidP="00CB5CC1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hyperlink r:id="rId7" w:history="1">
        <w:r w:rsidRPr="00C91E25">
          <w:rPr>
            <w:rStyle w:val="Hipercze"/>
          </w:rPr>
          <w:t>https://mf-arch2.mf.gov.pl/ministerstwo-finansow/dzialalnosc/giif/aktualnosci/-/asset_publisher/SVp7/content/komunikat-dotyczacy-obowiazku-szkoleniowego-z-przepisow-ustawy-z-dnia-1-marca-2018-r-o-przeciwdzialaniu-praniu-pieniedzy-oraz-finansowaniu-terroryzmu/pop_up?_101_INSTANCE_SVp7_viewMode=print</w:t>
        </w:r>
      </w:hyperlink>
      <w:r w:rsidR="00AC22BA" w:rsidRPr="00C91E25">
        <w:rPr>
          <w:rStyle w:val="Hipercze"/>
        </w:rPr>
        <w:t>.</w:t>
      </w:r>
    </w:p>
  </w:footnote>
  <w:footnote w:id="22">
    <w:p w14:paraId="48091508" w14:textId="642D5C41" w:rsidR="0086229C" w:rsidRPr="00D97EC8" w:rsidRDefault="0086229C">
      <w:pPr>
        <w:pStyle w:val="Tekstprzypisudolnego"/>
        <w:rPr>
          <w:lang w:val="en-GB"/>
        </w:rPr>
      </w:pPr>
      <w:r w:rsidRPr="00FF4B89">
        <w:rPr>
          <w:rStyle w:val="Odwoanieprzypisudolnego"/>
        </w:rPr>
        <w:footnoteRef/>
      </w:r>
      <w:hyperlink r:id="rId8" w:history="1">
        <w:r w:rsidRPr="00B337B5">
          <w:rPr>
            <w:rStyle w:val="Hipercze"/>
          </w:rPr>
          <w:t>https://www.gov.pl/web/finanse/komunikat-nr-37-w-sprawie-zasad-odnotowywania-rozbieznosci-miedzy-informacjami-zgromadzonymi-w-crbr-a-ustalonymi-przez-instytucje-obowiazana-informacjami-o-beneficjencie-rzeczywistym-klienta</w:t>
        </w:r>
      </w:hyperlink>
      <w:r w:rsidR="00B337B5">
        <w:rPr>
          <w:lang w:val="en-GB"/>
        </w:rPr>
        <w:t xml:space="preserve"> </w:t>
      </w:r>
    </w:p>
  </w:footnote>
  <w:footnote w:id="23">
    <w:p w14:paraId="1F78AC8C" w14:textId="14F7B5B1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B337B5">
        <w:rPr>
          <w:rStyle w:val="Hipercze"/>
        </w:rPr>
        <w:t>https://www.gov.pl/web/finanse/komunikat-nr-38-w-sprawie-braku-mozliwosci-ustalenia-lub-watpliwosci-co-do-tozsamosci-osob-fizycznych-okreslonych-w-art-2-ust-2-pkt-1-lit-a-tir</w:t>
      </w:r>
      <w:r w:rsidR="00F56274" w:rsidRPr="00B337B5">
        <w:rPr>
          <w:rStyle w:val="Hipercze"/>
        </w:rPr>
        <w:t>et-pierwszymczwartym-ustawy-aml.</w:t>
      </w:r>
      <w:hyperlink r:id="rId9" w:history="1"/>
      <w:r w:rsidRPr="00B337B5">
        <w:rPr>
          <w:rStyle w:val="Hipercze"/>
          <w:lang w:val="en-GB"/>
        </w:rPr>
        <w:t xml:space="preserve"> </w:t>
      </w:r>
    </w:p>
  </w:footnote>
  <w:footnote w:id="24">
    <w:p w14:paraId="73804C20" w14:textId="1800E38B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hyperlink r:id="rId10" w:history="1">
        <w:r w:rsidR="000872E3" w:rsidRPr="00F856B1">
          <w:rPr>
            <w:rStyle w:val="Hipercze"/>
            <w:lang w:val="en-GB"/>
          </w:rPr>
          <w:t>https://www.knf.gov.pl/aktualnosci?articleId=69893&amp;p_id=18</w:t>
        </w:r>
      </w:hyperlink>
      <w:r w:rsidR="000872E3">
        <w:rPr>
          <w:lang w:val="en-GB"/>
        </w:rPr>
        <w:t xml:space="preserve"> </w:t>
      </w:r>
    </w:p>
  </w:footnote>
  <w:footnote w:id="25">
    <w:p w14:paraId="1BF55C97" w14:textId="44334DCA" w:rsidR="0086229C" w:rsidRPr="00D97EC8" w:rsidRDefault="008622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D97EC8">
        <w:rPr>
          <w:lang w:val="en-GB"/>
        </w:rPr>
        <w:t xml:space="preserve"> </w:t>
      </w:r>
      <w:hyperlink r:id="rId11" w:history="1">
        <w:r w:rsidR="000872E3" w:rsidRPr="00F856B1">
          <w:rPr>
            <w:rStyle w:val="Hipercze"/>
            <w:lang w:val="en-GB"/>
          </w:rPr>
          <w:t>https://www.knf.gov.pl/knf/pl/komponenty/img/Informacja_uzupe%C5%82niaj%C4%85ca_do_Stanowiska_UKNF_z_2_czerwca_2020%20r..pdf</w:t>
        </w:r>
      </w:hyperlink>
      <w:r w:rsidR="000872E3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BE"/>
    <w:multiLevelType w:val="hybridMultilevel"/>
    <w:tmpl w:val="49B638DA"/>
    <w:lvl w:ilvl="0" w:tplc="7BB677EC">
      <w:start w:val="1"/>
      <w:numFmt w:val="bullet"/>
      <w:lvlText w:val="˗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66E2764"/>
    <w:multiLevelType w:val="hybridMultilevel"/>
    <w:tmpl w:val="D4E8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04C"/>
    <w:multiLevelType w:val="hybridMultilevel"/>
    <w:tmpl w:val="D9EEFC8A"/>
    <w:lvl w:ilvl="0" w:tplc="7BB677EC">
      <w:start w:val="1"/>
      <w:numFmt w:val="bullet"/>
      <w:lvlText w:val="˗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3F76A9C"/>
    <w:multiLevelType w:val="hybridMultilevel"/>
    <w:tmpl w:val="65AC014C"/>
    <w:lvl w:ilvl="0" w:tplc="C7A0D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13B8"/>
    <w:multiLevelType w:val="hybridMultilevel"/>
    <w:tmpl w:val="7B22431A"/>
    <w:lvl w:ilvl="0" w:tplc="84D8D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B7CCD"/>
    <w:multiLevelType w:val="hybridMultilevel"/>
    <w:tmpl w:val="1F4284A0"/>
    <w:lvl w:ilvl="0" w:tplc="7BB677E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746F0"/>
    <w:multiLevelType w:val="multilevel"/>
    <w:tmpl w:val="48C2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B37806"/>
    <w:multiLevelType w:val="hybridMultilevel"/>
    <w:tmpl w:val="BA2E0272"/>
    <w:lvl w:ilvl="0" w:tplc="7BB677E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66A3A"/>
    <w:multiLevelType w:val="hybridMultilevel"/>
    <w:tmpl w:val="13CCCEEC"/>
    <w:lvl w:ilvl="0" w:tplc="073AB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B420E"/>
    <w:multiLevelType w:val="hybridMultilevel"/>
    <w:tmpl w:val="B7B4E57E"/>
    <w:lvl w:ilvl="0" w:tplc="84D8D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409C4"/>
    <w:multiLevelType w:val="hybridMultilevel"/>
    <w:tmpl w:val="0B8C6D76"/>
    <w:lvl w:ilvl="0" w:tplc="073ABBEC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F0400FE"/>
    <w:multiLevelType w:val="hybridMultilevel"/>
    <w:tmpl w:val="98E62904"/>
    <w:lvl w:ilvl="0" w:tplc="7BB677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62776"/>
    <w:multiLevelType w:val="hybridMultilevel"/>
    <w:tmpl w:val="1736F0B4"/>
    <w:lvl w:ilvl="0" w:tplc="073ABBEC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B731AC2"/>
    <w:multiLevelType w:val="hybridMultilevel"/>
    <w:tmpl w:val="6C186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31AF1"/>
    <w:multiLevelType w:val="hybridMultilevel"/>
    <w:tmpl w:val="691A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16A7"/>
    <w:multiLevelType w:val="hybridMultilevel"/>
    <w:tmpl w:val="4790BEF8"/>
    <w:lvl w:ilvl="0" w:tplc="5C7698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D7EC4"/>
    <w:multiLevelType w:val="hybridMultilevel"/>
    <w:tmpl w:val="F86E203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911DF0"/>
    <w:multiLevelType w:val="hybridMultilevel"/>
    <w:tmpl w:val="83422314"/>
    <w:lvl w:ilvl="0" w:tplc="7BB677E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B95820"/>
    <w:multiLevelType w:val="hybridMultilevel"/>
    <w:tmpl w:val="3EC4534E"/>
    <w:lvl w:ilvl="0" w:tplc="073ABBEC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5750339"/>
    <w:multiLevelType w:val="hybridMultilevel"/>
    <w:tmpl w:val="C56A2B36"/>
    <w:lvl w:ilvl="0" w:tplc="7BB677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D78CD"/>
    <w:multiLevelType w:val="hybridMultilevel"/>
    <w:tmpl w:val="6666AFFA"/>
    <w:lvl w:ilvl="0" w:tplc="E976E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0"/>
  </w:num>
  <w:num w:numId="19">
    <w:abstractNumId w:val="20"/>
  </w:num>
  <w:num w:numId="20">
    <w:abstractNumId w:val="1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91"/>
    <w:rsid w:val="00000CC9"/>
    <w:rsid w:val="00002F2B"/>
    <w:rsid w:val="000209D1"/>
    <w:rsid w:val="0002119B"/>
    <w:rsid w:val="000218F4"/>
    <w:rsid w:val="000265E9"/>
    <w:rsid w:val="000271EA"/>
    <w:rsid w:val="000333D4"/>
    <w:rsid w:val="00034180"/>
    <w:rsid w:val="00035894"/>
    <w:rsid w:val="00035BED"/>
    <w:rsid w:val="00047074"/>
    <w:rsid w:val="00047F71"/>
    <w:rsid w:val="000525CD"/>
    <w:rsid w:val="00052616"/>
    <w:rsid w:val="00054A61"/>
    <w:rsid w:val="00054EF3"/>
    <w:rsid w:val="000569B5"/>
    <w:rsid w:val="000578F0"/>
    <w:rsid w:val="000632BF"/>
    <w:rsid w:val="00074873"/>
    <w:rsid w:val="00076862"/>
    <w:rsid w:val="00085D7D"/>
    <w:rsid w:val="000867E7"/>
    <w:rsid w:val="00087274"/>
    <w:rsid w:val="000872E3"/>
    <w:rsid w:val="00091BAC"/>
    <w:rsid w:val="0009536A"/>
    <w:rsid w:val="000A06CD"/>
    <w:rsid w:val="000A20AC"/>
    <w:rsid w:val="000B1315"/>
    <w:rsid w:val="000B36A9"/>
    <w:rsid w:val="000C33C7"/>
    <w:rsid w:val="000C4DAA"/>
    <w:rsid w:val="000D0927"/>
    <w:rsid w:val="000D0DFE"/>
    <w:rsid w:val="000E13AB"/>
    <w:rsid w:val="000E2367"/>
    <w:rsid w:val="000F1444"/>
    <w:rsid w:val="000F4CB6"/>
    <w:rsid w:val="000F61E2"/>
    <w:rsid w:val="000F7880"/>
    <w:rsid w:val="00100B1D"/>
    <w:rsid w:val="001103E7"/>
    <w:rsid w:val="00111AAC"/>
    <w:rsid w:val="00114ECB"/>
    <w:rsid w:val="00115EED"/>
    <w:rsid w:val="001162AE"/>
    <w:rsid w:val="00116A68"/>
    <w:rsid w:val="00122A78"/>
    <w:rsid w:val="001239CF"/>
    <w:rsid w:val="00123E77"/>
    <w:rsid w:val="00126E44"/>
    <w:rsid w:val="00127128"/>
    <w:rsid w:val="0013044D"/>
    <w:rsid w:val="0013098B"/>
    <w:rsid w:val="001312CA"/>
    <w:rsid w:val="001313F2"/>
    <w:rsid w:val="001408A2"/>
    <w:rsid w:val="00140D1C"/>
    <w:rsid w:val="00142EAC"/>
    <w:rsid w:val="00150748"/>
    <w:rsid w:val="0016565B"/>
    <w:rsid w:val="0017263F"/>
    <w:rsid w:val="0017277F"/>
    <w:rsid w:val="00173396"/>
    <w:rsid w:val="00180B63"/>
    <w:rsid w:val="001850F2"/>
    <w:rsid w:val="00186ACD"/>
    <w:rsid w:val="00187038"/>
    <w:rsid w:val="0019146C"/>
    <w:rsid w:val="00193499"/>
    <w:rsid w:val="00193F32"/>
    <w:rsid w:val="00195447"/>
    <w:rsid w:val="001B605E"/>
    <w:rsid w:val="001B6282"/>
    <w:rsid w:val="001B6668"/>
    <w:rsid w:val="001C278A"/>
    <w:rsid w:val="001C535C"/>
    <w:rsid w:val="001C5DCC"/>
    <w:rsid w:val="001C5F7B"/>
    <w:rsid w:val="001D5BF0"/>
    <w:rsid w:val="001D712F"/>
    <w:rsid w:val="001D7514"/>
    <w:rsid w:val="001E3A6D"/>
    <w:rsid w:val="001E5C6A"/>
    <w:rsid w:val="001F3748"/>
    <w:rsid w:val="001F4F9F"/>
    <w:rsid w:val="00201982"/>
    <w:rsid w:val="00205879"/>
    <w:rsid w:val="00206747"/>
    <w:rsid w:val="002103ED"/>
    <w:rsid w:val="002131C0"/>
    <w:rsid w:val="00215C44"/>
    <w:rsid w:val="002236B2"/>
    <w:rsid w:val="002262A0"/>
    <w:rsid w:val="00227AE6"/>
    <w:rsid w:val="00227D89"/>
    <w:rsid w:val="0024086C"/>
    <w:rsid w:val="00244BA2"/>
    <w:rsid w:val="00250977"/>
    <w:rsid w:val="00252EED"/>
    <w:rsid w:val="002539D7"/>
    <w:rsid w:val="00256746"/>
    <w:rsid w:val="002578D5"/>
    <w:rsid w:val="00265AE6"/>
    <w:rsid w:val="00265FA1"/>
    <w:rsid w:val="00270124"/>
    <w:rsid w:val="00271B56"/>
    <w:rsid w:val="00272A4B"/>
    <w:rsid w:val="00273347"/>
    <w:rsid w:val="00273EB1"/>
    <w:rsid w:val="00274C23"/>
    <w:rsid w:val="00285C98"/>
    <w:rsid w:val="00291427"/>
    <w:rsid w:val="002A0EA4"/>
    <w:rsid w:val="002A1808"/>
    <w:rsid w:val="002B09FF"/>
    <w:rsid w:val="002B2664"/>
    <w:rsid w:val="002B4C20"/>
    <w:rsid w:val="002B4E58"/>
    <w:rsid w:val="002B5A7E"/>
    <w:rsid w:val="002B6DA2"/>
    <w:rsid w:val="002C032B"/>
    <w:rsid w:val="002C2A1D"/>
    <w:rsid w:val="002E1C96"/>
    <w:rsid w:val="002E3F17"/>
    <w:rsid w:val="002F28A7"/>
    <w:rsid w:val="002F2CD1"/>
    <w:rsid w:val="002F3CF8"/>
    <w:rsid w:val="003013EA"/>
    <w:rsid w:val="00304698"/>
    <w:rsid w:val="00305889"/>
    <w:rsid w:val="00327830"/>
    <w:rsid w:val="003414C1"/>
    <w:rsid w:val="00341761"/>
    <w:rsid w:val="003436F7"/>
    <w:rsid w:val="00346FEA"/>
    <w:rsid w:val="003519B2"/>
    <w:rsid w:val="00362C23"/>
    <w:rsid w:val="003673F6"/>
    <w:rsid w:val="003725C1"/>
    <w:rsid w:val="003768BC"/>
    <w:rsid w:val="003807FF"/>
    <w:rsid w:val="003822D2"/>
    <w:rsid w:val="0039553E"/>
    <w:rsid w:val="00397797"/>
    <w:rsid w:val="003A5E15"/>
    <w:rsid w:val="003A61AB"/>
    <w:rsid w:val="003A6CF5"/>
    <w:rsid w:val="003B28C3"/>
    <w:rsid w:val="003B5FB3"/>
    <w:rsid w:val="003B7773"/>
    <w:rsid w:val="003C0BF7"/>
    <w:rsid w:val="003C0CC4"/>
    <w:rsid w:val="003C1681"/>
    <w:rsid w:val="003C1EC4"/>
    <w:rsid w:val="003C2392"/>
    <w:rsid w:val="003D0EBC"/>
    <w:rsid w:val="003D11D4"/>
    <w:rsid w:val="003D2684"/>
    <w:rsid w:val="003D53EF"/>
    <w:rsid w:val="003D70F5"/>
    <w:rsid w:val="003E6899"/>
    <w:rsid w:val="003F4B57"/>
    <w:rsid w:val="00402447"/>
    <w:rsid w:val="00404ADD"/>
    <w:rsid w:val="00410B83"/>
    <w:rsid w:val="00411387"/>
    <w:rsid w:val="004136C0"/>
    <w:rsid w:val="00414F65"/>
    <w:rsid w:val="004174CD"/>
    <w:rsid w:val="00425D72"/>
    <w:rsid w:val="0043001D"/>
    <w:rsid w:val="004317D1"/>
    <w:rsid w:val="004338EB"/>
    <w:rsid w:val="00434DEA"/>
    <w:rsid w:val="00441657"/>
    <w:rsid w:val="00442225"/>
    <w:rsid w:val="00451F3C"/>
    <w:rsid w:val="00452467"/>
    <w:rsid w:val="00461CF3"/>
    <w:rsid w:val="00462306"/>
    <w:rsid w:val="00465B3A"/>
    <w:rsid w:val="00467DB1"/>
    <w:rsid w:val="004703D1"/>
    <w:rsid w:val="0047043A"/>
    <w:rsid w:val="00471075"/>
    <w:rsid w:val="004764C7"/>
    <w:rsid w:val="004772E1"/>
    <w:rsid w:val="00482231"/>
    <w:rsid w:val="0048421F"/>
    <w:rsid w:val="00487520"/>
    <w:rsid w:val="0049532E"/>
    <w:rsid w:val="004A1459"/>
    <w:rsid w:val="004A21A6"/>
    <w:rsid w:val="004A323C"/>
    <w:rsid w:val="004A3396"/>
    <w:rsid w:val="004A5186"/>
    <w:rsid w:val="004A7A48"/>
    <w:rsid w:val="004C1ACC"/>
    <w:rsid w:val="004C6ED3"/>
    <w:rsid w:val="004D1429"/>
    <w:rsid w:val="004D1F0A"/>
    <w:rsid w:val="004D26EF"/>
    <w:rsid w:val="004D35F4"/>
    <w:rsid w:val="004D57C5"/>
    <w:rsid w:val="004D5E40"/>
    <w:rsid w:val="004E3457"/>
    <w:rsid w:val="004E5030"/>
    <w:rsid w:val="004F2BC8"/>
    <w:rsid w:val="004F3569"/>
    <w:rsid w:val="004F4FAB"/>
    <w:rsid w:val="004F6EA5"/>
    <w:rsid w:val="005039B0"/>
    <w:rsid w:val="00507964"/>
    <w:rsid w:val="00510C9E"/>
    <w:rsid w:val="00523453"/>
    <w:rsid w:val="00524B53"/>
    <w:rsid w:val="005264D5"/>
    <w:rsid w:val="00526AF1"/>
    <w:rsid w:val="00543198"/>
    <w:rsid w:val="0054377D"/>
    <w:rsid w:val="00543AA1"/>
    <w:rsid w:val="00543C98"/>
    <w:rsid w:val="0054776B"/>
    <w:rsid w:val="00550C92"/>
    <w:rsid w:val="0056250E"/>
    <w:rsid w:val="005653B5"/>
    <w:rsid w:val="005665BC"/>
    <w:rsid w:val="00567C8C"/>
    <w:rsid w:val="00573B90"/>
    <w:rsid w:val="005745A0"/>
    <w:rsid w:val="005750E6"/>
    <w:rsid w:val="00576D04"/>
    <w:rsid w:val="005816D3"/>
    <w:rsid w:val="00583166"/>
    <w:rsid w:val="00585934"/>
    <w:rsid w:val="00591A01"/>
    <w:rsid w:val="005930A9"/>
    <w:rsid w:val="00594829"/>
    <w:rsid w:val="00594A9A"/>
    <w:rsid w:val="0059565E"/>
    <w:rsid w:val="005A38CC"/>
    <w:rsid w:val="005A5C7E"/>
    <w:rsid w:val="005A7BCA"/>
    <w:rsid w:val="005B35ED"/>
    <w:rsid w:val="005B77B4"/>
    <w:rsid w:val="005C0E15"/>
    <w:rsid w:val="005C5015"/>
    <w:rsid w:val="005D1A4B"/>
    <w:rsid w:val="005D1FAD"/>
    <w:rsid w:val="005D3311"/>
    <w:rsid w:val="005D4F1A"/>
    <w:rsid w:val="005D5DA6"/>
    <w:rsid w:val="005D7139"/>
    <w:rsid w:val="005E0202"/>
    <w:rsid w:val="005E2901"/>
    <w:rsid w:val="005F0B27"/>
    <w:rsid w:val="005F31C5"/>
    <w:rsid w:val="005F5A9A"/>
    <w:rsid w:val="005F7C2E"/>
    <w:rsid w:val="00602FAE"/>
    <w:rsid w:val="006068D0"/>
    <w:rsid w:val="006079B1"/>
    <w:rsid w:val="006122C9"/>
    <w:rsid w:val="00612DF1"/>
    <w:rsid w:val="00614887"/>
    <w:rsid w:val="00620D5B"/>
    <w:rsid w:val="0062344A"/>
    <w:rsid w:val="00630AE9"/>
    <w:rsid w:val="0063384A"/>
    <w:rsid w:val="00637387"/>
    <w:rsid w:val="0064058D"/>
    <w:rsid w:val="006438B7"/>
    <w:rsid w:val="00644B89"/>
    <w:rsid w:val="00651268"/>
    <w:rsid w:val="00653E74"/>
    <w:rsid w:val="00654CD1"/>
    <w:rsid w:val="00657597"/>
    <w:rsid w:val="00661E07"/>
    <w:rsid w:val="00665B1F"/>
    <w:rsid w:val="006830D1"/>
    <w:rsid w:val="006860E0"/>
    <w:rsid w:val="00686267"/>
    <w:rsid w:val="00694F99"/>
    <w:rsid w:val="006A2CA0"/>
    <w:rsid w:val="006A47AE"/>
    <w:rsid w:val="006A63D3"/>
    <w:rsid w:val="006B4B45"/>
    <w:rsid w:val="006C43A9"/>
    <w:rsid w:val="006C51A8"/>
    <w:rsid w:val="006D250A"/>
    <w:rsid w:val="006E5719"/>
    <w:rsid w:val="006E5D99"/>
    <w:rsid w:val="006F264E"/>
    <w:rsid w:val="006F78BB"/>
    <w:rsid w:val="00707E58"/>
    <w:rsid w:val="007116CC"/>
    <w:rsid w:val="00715B41"/>
    <w:rsid w:val="007204B6"/>
    <w:rsid w:val="0072344D"/>
    <w:rsid w:val="007262CD"/>
    <w:rsid w:val="00730060"/>
    <w:rsid w:val="00732133"/>
    <w:rsid w:val="00732702"/>
    <w:rsid w:val="00732D70"/>
    <w:rsid w:val="007333AB"/>
    <w:rsid w:val="00740167"/>
    <w:rsid w:val="007428AE"/>
    <w:rsid w:val="00742F73"/>
    <w:rsid w:val="007431AB"/>
    <w:rsid w:val="0075204F"/>
    <w:rsid w:val="00753E03"/>
    <w:rsid w:val="00755E0E"/>
    <w:rsid w:val="0076066C"/>
    <w:rsid w:val="00762EED"/>
    <w:rsid w:val="007632C3"/>
    <w:rsid w:val="00771D6B"/>
    <w:rsid w:val="00774A11"/>
    <w:rsid w:val="00780E55"/>
    <w:rsid w:val="00781B6A"/>
    <w:rsid w:val="00781E98"/>
    <w:rsid w:val="00784241"/>
    <w:rsid w:val="00790021"/>
    <w:rsid w:val="007932E2"/>
    <w:rsid w:val="007936BA"/>
    <w:rsid w:val="00793E47"/>
    <w:rsid w:val="00794178"/>
    <w:rsid w:val="00795540"/>
    <w:rsid w:val="00795804"/>
    <w:rsid w:val="007A27CC"/>
    <w:rsid w:val="007A5B56"/>
    <w:rsid w:val="007A6089"/>
    <w:rsid w:val="007A7D7A"/>
    <w:rsid w:val="007B21C3"/>
    <w:rsid w:val="007B268B"/>
    <w:rsid w:val="007B2CF0"/>
    <w:rsid w:val="007B41D3"/>
    <w:rsid w:val="007B485C"/>
    <w:rsid w:val="007C4230"/>
    <w:rsid w:val="007C42AF"/>
    <w:rsid w:val="007C554F"/>
    <w:rsid w:val="007C62D1"/>
    <w:rsid w:val="007C6889"/>
    <w:rsid w:val="007C7967"/>
    <w:rsid w:val="007E22EC"/>
    <w:rsid w:val="007E6BEA"/>
    <w:rsid w:val="007E6E83"/>
    <w:rsid w:val="007E7FB0"/>
    <w:rsid w:val="007F0E1A"/>
    <w:rsid w:val="0080481C"/>
    <w:rsid w:val="00805836"/>
    <w:rsid w:val="00805E3C"/>
    <w:rsid w:val="00805E55"/>
    <w:rsid w:val="00806FC9"/>
    <w:rsid w:val="00812E8C"/>
    <w:rsid w:val="0082031B"/>
    <w:rsid w:val="00822D76"/>
    <w:rsid w:val="0082301B"/>
    <w:rsid w:val="008259EC"/>
    <w:rsid w:val="00827CFC"/>
    <w:rsid w:val="00831AC3"/>
    <w:rsid w:val="00832A77"/>
    <w:rsid w:val="00836F42"/>
    <w:rsid w:val="00840E4E"/>
    <w:rsid w:val="00841295"/>
    <w:rsid w:val="00843327"/>
    <w:rsid w:val="00857067"/>
    <w:rsid w:val="0086229C"/>
    <w:rsid w:val="008667C4"/>
    <w:rsid w:val="0086711B"/>
    <w:rsid w:val="00867D70"/>
    <w:rsid w:val="00875649"/>
    <w:rsid w:val="00875C80"/>
    <w:rsid w:val="00891097"/>
    <w:rsid w:val="008969C8"/>
    <w:rsid w:val="008A12C8"/>
    <w:rsid w:val="008A1D55"/>
    <w:rsid w:val="008A4DB8"/>
    <w:rsid w:val="008B05BE"/>
    <w:rsid w:val="008B1A3A"/>
    <w:rsid w:val="008B572C"/>
    <w:rsid w:val="008C0B81"/>
    <w:rsid w:val="008C4255"/>
    <w:rsid w:val="008C553E"/>
    <w:rsid w:val="008C6FA8"/>
    <w:rsid w:val="008D12AC"/>
    <w:rsid w:val="008D1734"/>
    <w:rsid w:val="008D2244"/>
    <w:rsid w:val="008D32B7"/>
    <w:rsid w:val="008D6D73"/>
    <w:rsid w:val="008D7961"/>
    <w:rsid w:val="008E7697"/>
    <w:rsid w:val="008F0DFA"/>
    <w:rsid w:val="008F1077"/>
    <w:rsid w:val="008F528E"/>
    <w:rsid w:val="009024E2"/>
    <w:rsid w:val="0090643B"/>
    <w:rsid w:val="00910A56"/>
    <w:rsid w:val="00912F5D"/>
    <w:rsid w:val="0091365C"/>
    <w:rsid w:val="009174EC"/>
    <w:rsid w:val="00922B63"/>
    <w:rsid w:val="00922F41"/>
    <w:rsid w:val="009252C3"/>
    <w:rsid w:val="00927414"/>
    <w:rsid w:val="00927744"/>
    <w:rsid w:val="00927E60"/>
    <w:rsid w:val="00933665"/>
    <w:rsid w:val="00944DE2"/>
    <w:rsid w:val="00946E0A"/>
    <w:rsid w:val="00955F4D"/>
    <w:rsid w:val="00956BBE"/>
    <w:rsid w:val="00956C33"/>
    <w:rsid w:val="0096255E"/>
    <w:rsid w:val="00966FF3"/>
    <w:rsid w:val="0097368E"/>
    <w:rsid w:val="00986C4A"/>
    <w:rsid w:val="009925B6"/>
    <w:rsid w:val="009A4A8D"/>
    <w:rsid w:val="009A76C6"/>
    <w:rsid w:val="009B0306"/>
    <w:rsid w:val="009B1BB8"/>
    <w:rsid w:val="009B380C"/>
    <w:rsid w:val="009B5DBF"/>
    <w:rsid w:val="009C2DFD"/>
    <w:rsid w:val="009C343B"/>
    <w:rsid w:val="009D39EA"/>
    <w:rsid w:val="009D5134"/>
    <w:rsid w:val="009D7D49"/>
    <w:rsid w:val="009E2672"/>
    <w:rsid w:val="009E404C"/>
    <w:rsid w:val="009E5AA4"/>
    <w:rsid w:val="009F0651"/>
    <w:rsid w:val="009F25B2"/>
    <w:rsid w:val="009F26C5"/>
    <w:rsid w:val="00A04F59"/>
    <w:rsid w:val="00A14ADA"/>
    <w:rsid w:val="00A219CA"/>
    <w:rsid w:val="00A32E3E"/>
    <w:rsid w:val="00A33FD1"/>
    <w:rsid w:val="00A347B2"/>
    <w:rsid w:val="00A37EF7"/>
    <w:rsid w:val="00A4035D"/>
    <w:rsid w:val="00A466A0"/>
    <w:rsid w:val="00A4762E"/>
    <w:rsid w:val="00A522D5"/>
    <w:rsid w:val="00A54681"/>
    <w:rsid w:val="00A61C0A"/>
    <w:rsid w:val="00A66209"/>
    <w:rsid w:val="00A6624C"/>
    <w:rsid w:val="00A67027"/>
    <w:rsid w:val="00A67E86"/>
    <w:rsid w:val="00A71935"/>
    <w:rsid w:val="00A72DCC"/>
    <w:rsid w:val="00A815F1"/>
    <w:rsid w:val="00A81A5A"/>
    <w:rsid w:val="00A91417"/>
    <w:rsid w:val="00A93BDC"/>
    <w:rsid w:val="00AA0514"/>
    <w:rsid w:val="00AA5814"/>
    <w:rsid w:val="00AA7743"/>
    <w:rsid w:val="00AB0DEB"/>
    <w:rsid w:val="00AB130E"/>
    <w:rsid w:val="00AB79D9"/>
    <w:rsid w:val="00AB7C1E"/>
    <w:rsid w:val="00AC22BA"/>
    <w:rsid w:val="00AC2B82"/>
    <w:rsid w:val="00AC37D3"/>
    <w:rsid w:val="00AC3B4E"/>
    <w:rsid w:val="00AC536B"/>
    <w:rsid w:val="00AC7CF7"/>
    <w:rsid w:val="00AD473E"/>
    <w:rsid w:val="00AD5691"/>
    <w:rsid w:val="00AD5EEB"/>
    <w:rsid w:val="00AE0F24"/>
    <w:rsid w:val="00AE554C"/>
    <w:rsid w:val="00B03D2A"/>
    <w:rsid w:val="00B14B23"/>
    <w:rsid w:val="00B1543D"/>
    <w:rsid w:val="00B177B3"/>
    <w:rsid w:val="00B17DDC"/>
    <w:rsid w:val="00B213F1"/>
    <w:rsid w:val="00B22FE2"/>
    <w:rsid w:val="00B278A1"/>
    <w:rsid w:val="00B30A08"/>
    <w:rsid w:val="00B337B5"/>
    <w:rsid w:val="00B40617"/>
    <w:rsid w:val="00B418A1"/>
    <w:rsid w:val="00B4456A"/>
    <w:rsid w:val="00B46CD5"/>
    <w:rsid w:val="00B52FC6"/>
    <w:rsid w:val="00B56F9E"/>
    <w:rsid w:val="00B60D47"/>
    <w:rsid w:val="00B62858"/>
    <w:rsid w:val="00B6476D"/>
    <w:rsid w:val="00B65527"/>
    <w:rsid w:val="00B659DF"/>
    <w:rsid w:val="00B729C6"/>
    <w:rsid w:val="00B745AC"/>
    <w:rsid w:val="00B75121"/>
    <w:rsid w:val="00B819B0"/>
    <w:rsid w:val="00B956C1"/>
    <w:rsid w:val="00BB1DC3"/>
    <w:rsid w:val="00BB247F"/>
    <w:rsid w:val="00BD4556"/>
    <w:rsid w:val="00BE1366"/>
    <w:rsid w:val="00BE3495"/>
    <w:rsid w:val="00BF0E25"/>
    <w:rsid w:val="00BF2920"/>
    <w:rsid w:val="00BF6547"/>
    <w:rsid w:val="00C00CC3"/>
    <w:rsid w:val="00C01A0A"/>
    <w:rsid w:val="00C05483"/>
    <w:rsid w:val="00C06E21"/>
    <w:rsid w:val="00C136F7"/>
    <w:rsid w:val="00C14247"/>
    <w:rsid w:val="00C15E51"/>
    <w:rsid w:val="00C169D0"/>
    <w:rsid w:val="00C17787"/>
    <w:rsid w:val="00C2068F"/>
    <w:rsid w:val="00C232EF"/>
    <w:rsid w:val="00C23914"/>
    <w:rsid w:val="00C239FB"/>
    <w:rsid w:val="00C308BA"/>
    <w:rsid w:val="00C33D35"/>
    <w:rsid w:val="00C36720"/>
    <w:rsid w:val="00C36A42"/>
    <w:rsid w:val="00C37F27"/>
    <w:rsid w:val="00C412B5"/>
    <w:rsid w:val="00C43324"/>
    <w:rsid w:val="00C4487C"/>
    <w:rsid w:val="00C46FAB"/>
    <w:rsid w:val="00C47DA9"/>
    <w:rsid w:val="00C5391E"/>
    <w:rsid w:val="00C647EB"/>
    <w:rsid w:val="00C65375"/>
    <w:rsid w:val="00C65DE8"/>
    <w:rsid w:val="00C661A5"/>
    <w:rsid w:val="00C74174"/>
    <w:rsid w:val="00C74DA2"/>
    <w:rsid w:val="00C75500"/>
    <w:rsid w:val="00C82731"/>
    <w:rsid w:val="00C82E4B"/>
    <w:rsid w:val="00C83E20"/>
    <w:rsid w:val="00C85229"/>
    <w:rsid w:val="00C8702D"/>
    <w:rsid w:val="00C8768C"/>
    <w:rsid w:val="00C919F3"/>
    <w:rsid w:val="00C91E25"/>
    <w:rsid w:val="00C937BE"/>
    <w:rsid w:val="00C96F20"/>
    <w:rsid w:val="00C97F41"/>
    <w:rsid w:val="00CA1A91"/>
    <w:rsid w:val="00CA1C36"/>
    <w:rsid w:val="00CA3DB3"/>
    <w:rsid w:val="00CB2541"/>
    <w:rsid w:val="00CB2C17"/>
    <w:rsid w:val="00CB45B1"/>
    <w:rsid w:val="00CB4B4B"/>
    <w:rsid w:val="00CB5CC1"/>
    <w:rsid w:val="00CB6492"/>
    <w:rsid w:val="00CB6EA6"/>
    <w:rsid w:val="00CC2230"/>
    <w:rsid w:val="00CC79F0"/>
    <w:rsid w:val="00CD4BA5"/>
    <w:rsid w:val="00CE0C74"/>
    <w:rsid w:val="00CE3A01"/>
    <w:rsid w:val="00CE41C6"/>
    <w:rsid w:val="00CE5488"/>
    <w:rsid w:val="00CE6188"/>
    <w:rsid w:val="00CF016D"/>
    <w:rsid w:val="00CF13F9"/>
    <w:rsid w:val="00CF4FF0"/>
    <w:rsid w:val="00CF51C1"/>
    <w:rsid w:val="00CF5857"/>
    <w:rsid w:val="00CF5CED"/>
    <w:rsid w:val="00D02000"/>
    <w:rsid w:val="00D04BA1"/>
    <w:rsid w:val="00D14568"/>
    <w:rsid w:val="00D1467A"/>
    <w:rsid w:val="00D20E16"/>
    <w:rsid w:val="00D24CBE"/>
    <w:rsid w:val="00D253D9"/>
    <w:rsid w:val="00D310A2"/>
    <w:rsid w:val="00D31B67"/>
    <w:rsid w:val="00D348AC"/>
    <w:rsid w:val="00D37663"/>
    <w:rsid w:val="00D52A70"/>
    <w:rsid w:val="00D61B08"/>
    <w:rsid w:val="00D62A03"/>
    <w:rsid w:val="00D64465"/>
    <w:rsid w:val="00D6551D"/>
    <w:rsid w:val="00D658A2"/>
    <w:rsid w:val="00D66559"/>
    <w:rsid w:val="00D725A8"/>
    <w:rsid w:val="00D72F35"/>
    <w:rsid w:val="00D73BFB"/>
    <w:rsid w:val="00D751A6"/>
    <w:rsid w:val="00D76017"/>
    <w:rsid w:val="00D80DEF"/>
    <w:rsid w:val="00D816C4"/>
    <w:rsid w:val="00D82B50"/>
    <w:rsid w:val="00D8455D"/>
    <w:rsid w:val="00D87D99"/>
    <w:rsid w:val="00D96045"/>
    <w:rsid w:val="00D97EC8"/>
    <w:rsid w:val="00DB3734"/>
    <w:rsid w:val="00DB429B"/>
    <w:rsid w:val="00DB6AF5"/>
    <w:rsid w:val="00DB7065"/>
    <w:rsid w:val="00DC1531"/>
    <w:rsid w:val="00DC30CD"/>
    <w:rsid w:val="00DC6971"/>
    <w:rsid w:val="00DC6D39"/>
    <w:rsid w:val="00DD2ED0"/>
    <w:rsid w:val="00DD2F85"/>
    <w:rsid w:val="00DD3BAC"/>
    <w:rsid w:val="00DD63FE"/>
    <w:rsid w:val="00DE0F1B"/>
    <w:rsid w:val="00DE16B8"/>
    <w:rsid w:val="00DE3A52"/>
    <w:rsid w:val="00DE4136"/>
    <w:rsid w:val="00DE679A"/>
    <w:rsid w:val="00DE7AA0"/>
    <w:rsid w:val="00DF128A"/>
    <w:rsid w:val="00DF15B6"/>
    <w:rsid w:val="00DF3F8F"/>
    <w:rsid w:val="00DF4FA4"/>
    <w:rsid w:val="00E015E2"/>
    <w:rsid w:val="00E01BDD"/>
    <w:rsid w:val="00E024D4"/>
    <w:rsid w:val="00E02DD2"/>
    <w:rsid w:val="00E056C5"/>
    <w:rsid w:val="00E11813"/>
    <w:rsid w:val="00E14F81"/>
    <w:rsid w:val="00E157C6"/>
    <w:rsid w:val="00E15DC5"/>
    <w:rsid w:val="00E21EC3"/>
    <w:rsid w:val="00E2256A"/>
    <w:rsid w:val="00E252BD"/>
    <w:rsid w:val="00E33509"/>
    <w:rsid w:val="00E34EE3"/>
    <w:rsid w:val="00E34F58"/>
    <w:rsid w:val="00E367DE"/>
    <w:rsid w:val="00E43664"/>
    <w:rsid w:val="00E43807"/>
    <w:rsid w:val="00E55E85"/>
    <w:rsid w:val="00E57484"/>
    <w:rsid w:val="00E625AE"/>
    <w:rsid w:val="00E634AF"/>
    <w:rsid w:val="00E7232D"/>
    <w:rsid w:val="00E73101"/>
    <w:rsid w:val="00E77B23"/>
    <w:rsid w:val="00E804CB"/>
    <w:rsid w:val="00E85406"/>
    <w:rsid w:val="00E86241"/>
    <w:rsid w:val="00E8796D"/>
    <w:rsid w:val="00E920E5"/>
    <w:rsid w:val="00E96F47"/>
    <w:rsid w:val="00EA111F"/>
    <w:rsid w:val="00EA3549"/>
    <w:rsid w:val="00EA5820"/>
    <w:rsid w:val="00EB1F70"/>
    <w:rsid w:val="00EB3F93"/>
    <w:rsid w:val="00EB5E7B"/>
    <w:rsid w:val="00EC2C2F"/>
    <w:rsid w:val="00EC3078"/>
    <w:rsid w:val="00EC367B"/>
    <w:rsid w:val="00EC3B3E"/>
    <w:rsid w:val="00EC44F8"/>
    <w:rsid w:val="00EC6A98"/>
    <w:rsid w:val="00ED230D"/>
    <w:rsid w:val="00ED2B1F"/>
    <w:rsid w:val="00ED373B"/>
    <w:rsid w:val="00EE531B"/>
    <w:rsid w:val="00EF05FD"/>
    <w:rsid w:val="00F074E9"/>
    <w:rsid w:val="00F075E1"/>
    <w:rsid w:val="00F1085C"/>
    <w:rsid w:val="00F10A9D"/>
    <w:rsid w:val="00F11D6A"/>
    <w:rsid w:val="00F13301"/>
    <w:rsid w:val="00F16F2C"/>
    <w:rsid w:val="00F245A3"/>
    <w:rsid w:val="00F24EFC"/>
    <w:rsid w:val="00F3394F"/>
    <w:rsid w:val="00F35FF2"/>
    <w:rsid w:val="00F3605F"/>
    <w:rsid w:val="00F37E8C"/>
    <w:rsid w:val="00F40C13"/>
    <w:rsid w:val="00F42E29"/>
    <w:rsid w:val="00F4487F"/>
    <w:rsid w:val="00F5144B"/>
    <w:rsid w:val="00F52E8E"/>
    <w:rsid w:val="00F56274"/>
    <w:rsid w:val="00F615DC"/>
    <w:rsid w:val="00F628AD"/>
    <w:rsid w:val="00F64831"/>
    <w:rsid w:val="00F669D9"/>
    <w:rsid w:val="00F71EC4"/>
    <w:rsid w:val="00F723C5"/>
    <w:rsid w:val="00F740A3"/>
    <w:rsid w:val="00F77CC4"/>
    <w:rsid w:val="00F80336"/>
    <w:rsid w:val="00F806A2"/>
    <w:rsid w:val="00F807CB"/>
    <w:rsid w:val="00F81299"/>
    <w:rsid w:val="00F829A7"/>
    <w:rsid w:val="00F8328E"/>
    <w:rsid w:val="00F83B45"/>
    <w:rsid w:val="00F83C24"/>
    <w:rsid w:val="00F8438F"/>
    <w:rsid w:val="00F84A83"/>
    <w:rsid w:val="00F85A2E"/>
    <w:rsid w:val="00F87FEE"/>
    <w:rsid w:val="00F90D65"/>
    <w:rsid w:val="00F937A9"/>
    <w:rsid w:val="00F95AD6"/>
    <w:rsid w:val="00F97093"/>
    <w:rsid w:val="00FA43F6"/>
    <w:rsid w:val="00FA67FB"/>
    <w:rsid w:val="00FB2234"/>
    <w:rsid w:val="00FB276A"/>
    <w:rsid w:val="00FB3599"/>
    <w:rsid w:val="00FB3DB8"/>
    <w:rsid w:val="00FC003B"/>
    <w:rsid w:val="00FC2EE0"/>
    <w:rsid w:val="00FC65DE"/>
    <w:rsid w:val="00FD19EF"/>
    <w:rsid w:val="00FD1ECB"/>
    <w:rsid w:val="00FD3A34"/>
    <w:rsid w:val="00FD454A"/>
    <w:rsid w:val="00FD4714"/>
    <w:rsid w:val="00FD7B9E"/>
    <w:rsid w:val="00FE0607"/>
    <w:rsid w:val="00FE219D"/>
    <w:rsid w:val="00FE592F"/>
    <w:rsid w:val="00FF4B89"/>
    <w:rsid w:val="00FF63A4"/>
    <w:rsid w:val="00FF762A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4E38"/>
  <w15:chartTrackingRefBased/>
  <w15:docId w15:val="{EC9524C9-9028-47E2-B734-01B1405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C5"/>
    <w:pPr>
      <w:spacing w:after="0" w:line="276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F2BC8"/>
    <w:pPr>
      <w:spacing w:before="100" w:beforeAutospacing="1" w:after="100" w:afterAutospacing="1" w:line="240" w:lineRule="auto"/>
      <w:jc w:val="left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819B0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9B0"/>
    <w:rPr>
      <w:rFonts w:ascii="Times New Roman" w:eastAsia="Times New Roman" w:hAnsi="Times New Roman" w:cs="Times New Roman"/>
      <w:spacing w:val="-6"/>
      <w:sz w:val="16"/>
      <w:szCs w:val="20"/>
      <w:lang w:eastAsia="pl-PL"/>
    </w:rPr>
  </w:style>
  <w:style w:type="character" w:styleId="Odwoanieprzypisudolnego">
    <w:name w:val="footnote reference"/>
    <w:semiHidden/>
    <w:rsid w:val="00B819B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819B0"/>
    <w:pPr>
      <w:spacing w:after="80"/>
      <w:ind w:left="720"/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819B0"/>
    <w:rPr>
      <w:rFonts w:ascii="Times New Roman" w:eastAsia="Calibri" w:hAnsi="Times New Roman" w:cs="Times New Roman"/>
      <w:spacing w:val="-6"/>
      <w:sz w:val="24"/>
    </w:rPr>
  </w:style>
  <w:style w:type="paragraph" w:styleId="Podtytu">
    <w:name w:val="Subtitle"/>
    <w:aliases w:val="Z odstępem"/>
    <w:basedOn w:val="Normalny"/>
    <w:next w:val="Normalny"/>
    <w:link w:val="PodtytuZnak"/>
    <w:qFormat/>
    <w:rsid w:val="00B819B0"/>
    <w:pPr>
      <w:spacing w:after="80"/>
    </w:pPr>
  </w:style>
  <w:style w:type="character" w:customStyle="1" w:styleId="PodtytuZnak">
    <w:name w:val="Podtytuł Znak"/>
    <w:aliases w:val="Z odstępem Znak"/>
    <w:basedOn w:val="Domylnaczcionkaakapitu"/>
    <w:link w:val="Podtytu"/>
    <w:rsid w:val="00B819B0"/>
    <w:rPr>
      <w:rFonts w:ascii="Times New Roman" w:eastAsia="Times New Roman" w:hAnsi="Times New Roman" w:cs="Times New Roman"/>
      <w:spacing w:val="-6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EE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EE0"/>
    <w:rPr>
      <w:rFonts w:ascii="Times New Roman" w:eastAsia="Times New Roman" w:hAnsi="Times New Roman" w:cs="Times New Roman"/>
      <w:spacing w:val="-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E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2E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77B3"/>
    <w:pPr>
      <w:spacing w:before="100" w:beforeAutospacing="1" w:after="100" w:afterAutospacing="1" w:line="240" w:lineRule="auto"/>
      <w:jc w:val="left"/>
    </w:pPr>
    <w:rPr>
      <w:spacing w:val="0"/>
      <w:szCs w:val="24"/>
    </w:rPr>
  </w:style>
  <w:style w:type="character" w:styleId="Pogrubienie">
    <w:name w:val="Strong"/>
    <w:basedOn w:val="Domylnaczcionkaakapitu"/>
    <w:uiPriority w:val="22"/>
    <w:qFormat/>
    <w:rsid w:val="00B177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5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3569"/>
    <w:rPr>
      <w:rFonts w:ascii="Times New Roman" w:eastAsia="Times New Roman" w:hAnsi="Times New Roman" w:cs="Times New Roman"/>
      <w:spacing w:val="-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569"/>
    <w:rPr>
      <w:rFonts w:ascii="Times New Roman" w:eastAsia="Times New Roman" w:hAnsi="Times New Roman" w:cs="Times New Roman"/>
      <w:b/>
      <w:bCs/>
      <w:spacing w:val="-6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69"/>
    <w:rPr>
      <w:rFonts w:ascii="Segoe UI" w:eastAsia="Times New Roman" w:hAnsi="Segoe UI" w:cs="Segoe UI"/>
      <w:spacing w:val="-6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632C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0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34F58"/>
  </w:style>
  <w:style w:type="character" w:customStyle="1" w:styleId="Nagwek2Znak">
    <w:name w:val="Nagłówek 2 Znak"/>
    <w:basedOn w:val="Domylnaczcionkaakapitu"/>
    <w:link w:val="Nagwek2"/>
    <w:uiPriority w:val="9"/>
    <w:rsid w:val="004F2B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4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E9"/>
    <w:rPr>
      <w:rFonts w:ascii="Times New Roman" w:eastAsia="Times New Roman" w:hAnsi="Times New Roman" w:cs="Times New Roman"/>
      <w:spacing w:val="-6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4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E9"/>
    <w:rPr>
      <w:rFonts w:ascii="Times New Roman" w:eastAsia="Times New Roman" w:hAnsi="Times New Roman" w:cs="Times New Roman"/>
      <w:spacing w:val="-6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A27CC"/>
    <w:pPr>
      <w:spacing w:after="0" w:line="240" w:lineRule="auto"/>
    </w:pPr>
    <w:rPr>
      <w:rFonts w:ascii="Times New Roman" w:eastAsia="Times New Roman" w:hAnsi="Times New Roman" w:cs="Times New Roman"/>
      <w:spacing w:val="-6"/>
      <w:sz w:val="24"/>
      <w:szCs w:val="20"/>
      <w:lang w:eastAsia="pl-PL"/>
    </w:rPr>
  </w:style>
  <w:style w:type="paragraph" w:customStyle="1" w:styleId="Default">
    <w:name w:val="Default"/>
    <w:rsid w:val="00E05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Odwoaniedokomentarza"/>
    <w:uiPriority w:val="21"/>
    <w:qFormat/>
    <w:rsid w:val="00DB6AF5"/>
    <w:rPr>
      <w:rFonts w:asciiTheme="majorHAnsi" w:hAnsiTheme="majorHAnsi" w:cstheme="majorHAnsi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7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46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inanse/komunikat-nr-37-w-sprawie-zasad-odnotowywania-rozbieznosci-miedzy-informacjami-zgromadzonymi-w-crbr-a-ustalonymi-przez-instytucje-obowiazana-informacjami-o-beneficjencie-rzeczywistym-klienta" TargetMode="External"/><Relationship Id="rId3" Type="http://schemas.openxmlformats.org/officeDocument/2006/relationships/hyperlink" Target="https://www.gov.pl/web/finanse/komunikat-nr-36-w-sprawie-oceny-ryzyka-instytucji-obowiazanej" TargetMode="External"/><Relationship Id="rId7" Type="http://schemas.openxmlformats.org/officeDocument/2006/relationships/hyperlink" Target="https://mf-arch2.mf.gov.pl/ministerstwo-finansow/dzialalnosc/giif/aktualnosci/-/asset_publisher/SVp7/content/komunikat-dotyczacy-obowiazku-szkoleniowego-z-przepisow-ustawy-z-dnia-1-marca-2018-r-o-przeciwdzialaniu-praniu-pieniedzy-oraz-finansowaniu-terroryzmu/pop_up?_101_INSTANCE_SVp7_viewMode=print" TargetMode="External"/><Relationship Id="rId2" Type="http://schemas.openxmlformats.org/officeDocument/2006/relationships/hyperlink" Target="https://www.knf.gov.pl/knf/pl/komponenty/img/Stanowisko_UKNF_AMLRO_80468.pdf" TargetMode="External"/><Relationship Id="rId1" Type="http://schemas.openxmlformats.org/officeDocument/2006/relationships/hyperlink" Target="https://www.gov.pl/web/finanse/komunikaty-giif" TargetMode="External"/><Relationship Id="rId6" Type="http://schemas.openxmlformats.org/officeDocument/2006/relationships/hyperlink" Target="http://www.knf.gov.pl/knf/pl/komponenty/img/Stanowisko_UKNF_dot_informacji_towarzyszacych_transferom_srodkow_pienieznych_80201.pdf" TargetMode="External"/><Relationship Id="rId11" Type="http://schemas.openxmlformats.org/officeDocument/2006/relationships/hyperlink" Target="https://www.knf.gov.pl/knf/pl/komponenty/img/Informacja_uzupe%C5%82niaj%C4%85ca_do_Stanowiska_UKNF_z_2_czerwca_2020%20r..pdf" TargetMode="External"/><Relationship Id="rId5" Type="http://schemas.openxmlformats.org/officeDocument/2006/relationships/hyperlink" Target="https://www.eba.europa.eu/sites/default/documents/files/document_library/About%20Us/Governance%20structure/JC/Publications/Guidelines/1050460/Joint%20Guidelines%20to%20prevent%20TF%20and%20ML%20in%20electronic%20fund%20transfers_PL_16-01-2018.pdf?retry=1" TargetMode="External"/><Relationship Id="rId10" Type="http://schemas.openxmlformats.org/officeDocument/2006/relationships/hyperlink" Target="https://www.knf.gov.pl/aktualnosci?articleId=69893&amp;p_id=18" TargetMode="External"/><Relationship Id="rId4" Type="http://schemas.openxmlformats.org/officeDocument/2006/relationships/hyperlink" Target="https://www.knf.gov.pl/komunikacja/komunikaty?articleId=69504&amp;p_id=18" TargetMode="External"/><Relationship Id="rId9" Type="http://schemas.openxmlformats.org/officeDocument/2006/relationships/hyperlink" Target="https://www.gov.pl/web/finanse/komunikat-nr-38-w-sprawie-braku-mozliwosci-ustalenia-lub-watpliwosci-co-do-tozsamosci-osob-fizycznych-okreslonych-w-art-2-ust-2-pkt-1-lit-a-tiret-pierwszymczwartym-ustawy-a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C124-8094-48FA-B640-1AF4959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7290</Words>
  <Characters>43744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50933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2023-02-20T09:21:00Z</cp:lastPrinted>
  <dcterms:created xsi:type="dcterms:W3CDTF">2024-03-08T12:00:00Z</dcterms:created>
  <dcterms:modified xsi:type="dcterms:W3CDTF">2024-03-08T12:00:00Z</dcterms:modified>
  <cp:contentStatus/>
</cp:coreProperties>
</file>